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7A59B4" w14:textId="26C660F6" w:rsidR="00537809" w:rsidRPr="00451A30" w:rsidRDefault="00537809" w:rsidP="00537809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451A30">
        <w:rPr>
          <w:bCs/>
          <w:noProof w:val="0"/>
          <w:sz w:val="24"/>
          <w:szCs w:val="24"/>
        </w:rPr>
        <w:t>3GPP TSG-RAN WG2 Meeting #12</w:t>
      </w:r>
      <w:r w:rsidR="00F87048" w:rsidRPr="00451A30">
        <w:rPr>
          <w:bCs/>
          <w:noProof w:val="0"/>
          <w:sz w:val="24"/>
          <w:szCs w:val="24"/>
        </w:rPr>
        <w:t>5</w:t>
      </w:r>
      <w:r w:rsidR="005432D9" w:rsidRPr="00451A30">
        <w:rPr>
          <w:bCs/>
          <w:noProof w:val="0"/>
          <w:sz w:val="24"/>
          <w:szCs w:val="24"/>
        </w:rPr>
        <w:t>bis</w:t>
      </w:r>
      <w:r w:rsidRPr="00451A30">
        <w:rPr>
          <w:bCs/>
          <w:noProof w:val="0"/>
          <w:sz w:val="24"/>
          <w:szCs w:val="24"/>
        </w:rPr>
        <w:tab/>
        <w:t>R2-2</w:t>
      </w:r>
      <w:r w:rsidR="00F87048" w:rsidRPr="00451A30">
        <w:rPr>
          <w:bCs/>
          <w:noProof w:val="0"/>
          <w:sz w:val="24"/>
          <w:szCs w:val="24"/>
        </w:rPr>
        <w:t>40</w:t>
      </w:r>
      <w:r w:rsidR="003203DE">
        <w:rPr>
          <w:bCs/>
          <w:noProof w:val="0"/>
          <w:sz w:val="24"/>
          <w:szCs w:val="24"/>
        </w:rPr>
        <w:t>3306</w:t>
      </w:r>
    </w:p>
    <w:p w14:paraId="3723E1D3" w14:textId="36C0A0C0" w:rsidR="005432D9" w:rsidRPr="00451A30" w:rsidRDefault="005432D9" w:rsidP="005432D9">
      <w:pPr>
        <w:pStyle w:val="Header"/>
        <w:tabs>
          <w:tab w:val="right" w:pos="9639"/>
        </w:tabs>
        <w:rPr>
          <w:rFonts w:eastAsia="SimSun"/>
          <w:bCs/>
          <w:sz w:val="24"/>
          <w:szCs w:val="24"/>
          <w:lang w:eastAsia="zh-CN"/>
        </w:rPr>
      </w:pPr>
      <w:r w:rsidRPr="00451A30">
        <w:rPr>
          <w:rFonts w:eastAsia="SimSun"/>
          <w:bCs/>
          <w:sz w:val="24"/>
          <w:szCs w:val="24"/>
          <w:lang w:eastAsia="zh-CN"/>
        </w:rPr>
        <w:t>Changsha, China, 15 – 19 April 2024</w:t>
      </w:r>
      <w:r w:rsidRPr="00451A30">
        <w:rPr>
          <w:rFonts w:eastAsia="SimSun"/>
          <w:noProof w:val="0"/>
          <w:sz w:val="24"/>
          <w:szCs w:val="24"/>
          <w:lang w:eastAsia="zh-CN"/>
        </w:rPr>
        <w:tab/>
      </w:r>
    </w:p>
    <w:p w14:paraId="2E02E5F5" w14:textId="77777777" w:rsidR="00A209D6" w:rsidRPr="00451A30" w:rsidRDefault="00A209D6" w:rsidP="00A209D6">
      <w:pPr>
        <w:pStyle w:val="Header"/>
        <w:rPr>
          <w:bCs/>
          <w:noProof w:val="0"/>
          <w:sz w:val="24"/>
        </w:rPr>
      </w:pPr>
    </w:p>
    <w:p w14:paraId="403CB9C0" w14:textId="77777777" w:rsidR="00A209D6" w:rsidRPr="00451A30" w:rsidRDefault="00A209D6" w:rsidP="00A209D6">
      <w:pPr>
        <w:pStyle w:val="Header"/>
        <w:rPr>
          <w:bCs/>
          <w:noProof w:val="0"/>
          <w:sz w:val="24"/>
        </w:rPr>
      </w:pPr>
    </w:p>
    <w:p w14:paraId="310B92C9" w14:textId="3DD505F6" w:rsidR="00446C3A" w:rsidRPr="00451A30" w:rsidRDefault="00446C3A" w:rsidP="00446C3A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451A30">
        <w:rPr>
          <w:rFonts w:cs="Arial"/>
          <w:b/>
          <w:bCs/>
          <w:sz w:val="24"/>
        </w:rPr>
        <w:t>Agenda item:</w:t>
      </w:r>
      <w:r w:rsidRPr="00451A30">
        <w:rPr>
          <w:rFonts w:cs="Arial"/>
          <w:b/>
          <w:bCs/>
          <w:sz w:val="24"/>
        </w:rPr>
        <w:tab/>
      </w:r>
      <w:r w:rsidR="00C11333">
        <w:rPr>
          <w:rFonts w:cs="Arial"/>
          <w:b/>
          <w:bCs/>
          <w:sz w:val="24"/>
          <w:lang w:eastAsia="ja-JP"/>
        </w:rPr>
        <w:t>8.8.4</w:t>
      </w:r>
    </w:p>
    <w:p w14:paraId="73188B46" w14:textId="19F7AC33" w:rsidR="00446C3A" w:rsidRPr="00451A30" w:rsidRDefault="00446C3A" w:rsidP="00446C3A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451A30">
        <w:rPr>
          <w:rFonts w:ascii="Arial" w:hAnsi="Arial" w:cs="Arial"/>
          <w:b/>
          <w:bCs/>
          <w:sz w:val="24"/>
        </w:rPr>
        <w:t>Source:</w:t>
      </w:r>
      <w:r w:rsidRPr="00451A30">
        <w:rPr>
          <w:rFonts w:ascii="Arial" w:hAnsi="Arial" w:cs="Arial"/>
          <w:b/>
          <w:bCs/>
          <w:sz w:val="24"/>
        </w:rPr>
        <w:tab/>
        <w:t>Nokia</w:t>
      </w:r>
    </w:p>
    <w:p w14:paraId="553D264F" w14:textId="4BCCFEFE" w:rsidR="00446C3A" w:rsidRPr="00451A30" w:rsidRDefault="00446C3A" w:rsidP="00446C3A">
      <w:pPr>
        <w:ind w:left="1985" w:hanging="1985"/>
        <w:rPr>
          <w:rFonts w:ascii="Arial" w:hAnsi="Arial" w:cs="Arial"/>
          <w:b/>
          <w:bCs/>
          <w:sz w:val="24"/>
        </w:rPr>
      </w:pPr>
      <w:r w:rsidRPr="00451A30">
        <w:rPr>
          <w:rFonts w:ascii="Arial" w:hAnsi="Arial" w:cs="Arial"/>
          <w:b/>
          <w:bCs/>
          <w:sz w:val="24"/>
        </w:rPr>
        <w:t>Title:</w:t>
      </w:r>
      <w:r w:rsidRPr="00451A30">
        <w:rPr>
          <w:rFonts w:ascii="Arial" w:hAnsi="Arial" w:cs="Arial"/>
          <w:b/>
          <w:bCs/>
          <w:sz w:val="24"/>
        </w:rPr>
        <w:tab/>
      </w:r>
      <w:r w:rsidR="002277FE" w:rsidRPr="00451A30">
        <w:rPr>
          <w:rFonts w:ascii="Arial" w:hAnsi="Arial" w:cs="Arial"/>
          <w:b/>
          <w:bCs/>
          <w:sz w:val="24"/>
        </w:rPr>
        <w:t>On MBS</w:t>
      </w:r>
      <w:r w:rsidR="006316F8" w:rsidRPr="00451A30">
        <w:rPr>
          <w:rFonts w:ascii="Arial" w:hAnsi="Arial" w:cs="Arial"/>
          <w:b/>
          <w:bCs/>
          <w:sz w:val="24"/>
        </w:rPr>
        <w:t xml:space="preserve"> </w:t>
      </w:r>
      <w:r w:rsidR="003203DE">
        <w:rPr>
          <w:rFonts w:ascii="Arial" w:hAnsi="Arial" w:cs="Arial"/>
          <w:b/>
          <w:bCs/>
          <w:sz w:val="24"/>
        </w:rPr>
        <w:t>S</w:t>
      </w:r>
      <w:r w:rsidR="006316F8" w:rsidRPr="00451A30">
        <w:rPr>
          <w:rFonts w:ascii="Arial" w:hAnsi="Arial" w:cs="Arial"/>
          <w:b/>
          <w:bCs/>
          <w:sz w:val="24"/>
        </w:rPr>
        <w:t xml:space="preserve">ervice </w:t>
      </w:r>
      <w:r w:rsidR="003203DE">
        <w:rPr>
          <w:rFonts w:ascii="Arial" w:hAnsi="Arial" w:cs="Arial"/>
          <w:b/>
          <w:bCs/>
          <w:sz w:val="24"/>
        </w:rPr>
        <w:t>A</w:t>
      </w:r>
      <w:r w:rsidR="006316F8" w:rsidRPr="00451A30">
        <w:rPr>
          <w:rFonts w:ascii="Arial" w:hAnsi="Arial" w:cs="Arial"/>
          <w:b/>
          <w:bCs/>
          <w:sz w:val="24"/>
        </w:rPr>
        <w:t xml:space="preserve">rea </w:t>
      </w:r>
      <w:r w:rsidR="003203DE">
        <w:rPr>
          <w:rFonts w:ascii="Arial" w:hAnsi="Arial" w:cs="Arial"/>
          <w:b/>
          <w:bCs/>
          <w:sz w:val="24"/>
        </w:rPr>
        <w:t>S</w:t>
      </w:r>
      <w:r w:rsidR="006316F8" w:rsidRPr="00451A30">
        <w:rPr>
          <w:rFonts w:ascii="Arial" w:hAnsi="Arial" w:cs="Arial"/>
          <w:b/>
          <w:bCs/>
          <w:sz w:val="24"/>
        </w:rPr>
        <w:t>ignalling</w:t>
      </w:r>
      <w:r w:rsidR="00FF6146" w:rsidRPr="00451A30">
        <w:rPr>
          <w:rFonts w:ascii="Arial" w:hAnsi="Arial" w:cs="Arial"/>
          <w:b/>
          <w:bCs/>
          <w:sz w:val="24"/>
        </w:rPr>
        <w:t xml:space="preserve"> in</w:t>
      </w:r>
      <w:r w:rsidR="003203DE">
        <w:rPr>
          <w:rFonts w:ascii="Arial" w:hAnsi="Arial" w:cs="Arial"/>
          <w:b/>
          <w:bCs/>
          <w:sz w:val="24"/>
        </w:rPr>
        <w:t xml:space="preserve"> Rel-19</w:t>
      </w:r>
      <w:r w:rsidR="00FF6146" w:rsidRPr="00451A30">
        <w:rPr>
          <w:rFonts w:ascii="Arial" w:hAnsi="Arial" w:cs="Arial"/>
          <w:b/>
          <w:bCs/>
          <w:sz w:val="24"/>
        </w:rPr>
        <w:t xml:space="preserve"> NTN</w:t>
      </w:r>
    </w:p>
    <w:p w14:paraId="25F387E8" w14:textId="76E8188D" w:rsidR="00446C3A" w:rsidRPr="00451A30" w:rsidRDefault="00446C3A" w:rsidP="00446C3A">
      <w:pPr>
        <w:ind w:left="1985" w:hanging="1985"/>
        <w:rPr>
          <w:rFonts w:ascii="Arial" w:hAnsi="Arial" w:cs="Arial"/>
          <w:b/>
          <w:bCs/>
          <w:sz w:val="24"/>
        </w:rPr>
      </w:pPr>
      <w:r w:rsidRPr="00451A30">
        <w:rPr>
          <w:rFonts w:ascii="Arial" w:hAnsi="Arial" w:cs="Arial"/>
          <w:b/>
          <w:bCs/>
          <w:sz w:val="24"/>
        </w:rPr>
        <w:t>WID/SID:</w:t>
      </w:r>
      <w:r w:rsidRPr="00451A30">
        <w:rPr>
          <w:rFonts w:ascii="Arial" w:hAnsi="Arial" w:cs="Arial"/>
          <w:b/>
          <w:bCs/>
          <w:sz w:val="24"/>
        </w:rPr>
        <w:tab/>
      </w:r>
      <w:r w:rsidR="002277FE" w:rsidRPr="00451A30">
        <w:rPr>
          <w:rFonts w:ascii="Arial" w:hAnsi="Arial" w:cs="Arial"/>
          <w:b/>
          <w:bCs/>
          <w:sz w:val="24"/>
        </w:rPr>
        <w:t>NR_NTN_Ph3</w:t>
      </w:r>
      <w:r w:rsidRPr="00451A30">
        <w:rPr>
          <w:rFonts w:ascii="Arial" w:hAnsi="Arial" w:cs="Arial"/>
          <w:b/>
          <w:bCs/>
          <w:sz w:val="24"/>
        </w:rPr>
        <w:t xml:space="preserve"> - Release </w:t>
      </w:r>
      <w:r w:rsidR="002277FE" w:rsidRPr="00451A30">
        <w:rPr>
          <w:rFonts w:ascii="Arial" w:hAnsi="Arial" w:cs="Arial"/>
          <w:b/>
          <w:bCs/>
          <w:sz w:val="24"/>
        </w:rPr>
        <w:t>19</w:t>
      </w:r>
    </w:p>
    <w:p w14:paraId="6FEB19D6" w14:textId="77777777" w:rsidR="00446C3A" w:rsidRPr="00451A30" w:rsidRDefault="00446C3A" w:rsidP="00446C3A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451A30">
        <w:rPr>
          <w:rFonts w:ascii="Arial" w:hAnsi="Arial" w:cs="Arial"/>
          <w:b/>
          <w:bCs/>
          <w:sz w:val="24"/>
        </w:rPr>
        <w:t>Document for:</w:t>
      </w:r>
      <w:r w:rsidRPr="00451A30">
        <w:rPr>
          <w:rFonts w:ascii="Arial" w:hAnsi="Arial" w:cs="Arial"/>
          <w:b/>
          <w:bCs/>
          <w:sz w:val="24"/>
        </w:rPr>
        <w:tab/>
        <w:t>Discussion and Decision</w:t>
      </w:r>
    </w:p>
    <w:p w14:paraId="294B1FC1" w14:textId="77777777" w:rsidR="00A209D6" w:rsidRPr="00451A30" w:rsidRDefault="00A209D6" w:rsidP="00A209D6">
      <w:pPr>
        <w:pStyle w:val="Heading1"/>
      </w:pPr>
      <w:r w:rsidRPr="00451A30">
        <w:t>1</w:t>
      </w:r>
      <w:r w:rsidRPr="00451A30">
        <w:tab/>
        <w:t>Introduction</w:t>
      </w:r>
    </w:p>
    <w:p w14:paraId="4FBEA473" w14:textId="291BC59F" w:rsidR="002277FE" w:rsidRPr="00451A30" w:rsidRDefault="002277FE" w:rsidP="009339CB">
      <w:r w:rsidRPr="00451A30">
        <w:t xml:space="preserve">In December 2023 RAN has approved a Rel-19 work item (WI) aimed at defining Phase 3 enhancements to Non-Terrestrial Networks (NTN). </w:t>
      </w:r>
      <w:r w:rsidR="00B95459">
        <w:t xml:space="preserve">There was a minor revision of the WID at RAN#103. </w:t>
      </w:r>
      <w:r w:rsidRPr="00451A30">
        <w:t xml:space="preserve">Among the objectives captured in the WID </w:t>
      </w:r>
      <w:r w:rsidRPr="00451A30">
        <w:fldChar w:fldCharType="begin"/>
      </w:r>
      <w:r w:rsidRPr="00451A30">
        <w:instrText xml:space="preserve"> REF _Ref161771711 \r \h </w:instrText>
      </w:r>
      <w:r w:rsidRPr="00451A30">
        <w:fldChar w:fldCharType="separate"/>
      </w:r>
      <w:r w:rsidRPr="00451A30">
        <w:t>[1]</w:t>
      </w:r>
      <w:r w:rsidRPr="00451A30">
        <w:fldChar w:fldCharType="end"/>
      </w:r>
      <w:r w:rsidRPr="00451A30">
        <w:t xml:space="preserve"> the following can be found: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2277FE" w:rsidRPr="00451A30" w14:paraId="1036470E" w14:textId="77777777" w:rsidTr="002277FE">
        <w:tc>
          <w:tcPr>
            <w:tcW w:w="9631" w:type="dxa"/>
          </w:tcPr>
          <w:p w14:paraId="75A9AC27" w14:textId="77777777" w:rsidR="002277FE" w:rsidRPr="00451A30" w:rsidRDefault="002277FE" w:rsidP="002277FE">
            <w:pPr>
              <w:numPr>
                <w:ilvl w:val="0"/>
                <w:numId w:val="19"/>
              </w:numPr>
              <w:overflowPunct w:val="0"/>
              <w:autoSpaceDE w:val="0"/>
              <w:autoSpaceDN w:val="0"/>
              <w:adjustRightInd w:val="0"/>
              <w:spacing w:after="0" w:line="276" w:lineRule="auto"/>
              <w:textAlignment w:val="baseline"/>
              <w:rPr>
                <w:rFonts w:eastAsia="Malgun Gothic"/>
                <w:lang w:eastAsia="ko-KR"/>
              </w:rPr>
            </w:pPr>
            <w:r w:rsidRPr="00451A30">
              <w:rPr>
                <w:rFonts w:eastAsia="Malgun Gothic"/>
                <w:lang w:eastAsia="ko-KR"/>
              </w:rPr>
              <w:t xml:space="preserve">Specify </w:t>
            </w:r>
            <w:proofErr w:type="spellStart"/>
            <w:r w:rsidRPr="00451A30">
              <w:rPr>
                <w:rFonts w:eastAsia="Malgun Gothic"/>
                <w:lang w:eastAsia="ko-KR"/>
              </w:rPr>
              <w:t>signaling</w:t>
            </w:r>
            <w:proofErr w:type="spellEnd"/>
            <w:r w:rsidRPr="00451A30">
              <w:rPr>
                <w:rFonts w:eastAsia="Malgun Gothic"/>
                <w:lang w:eastAsia="ko-KR"/>
              </w:rPr>
              <w:t xml:space="preserve"> of the intended service area of a broadcast service (e.g. MBS broadcast) via NR NTN [RAN2, RAN3]</w:t>
            </w:r>
          </w:p>
          <w:p w14:paraId="093E4EE7" w14:textId="77777777" w:rsidR="002277FE" w:rsidRPr="00451A30" w:rsidRDefault="002277FE" w:rsidP="002277FE">
            <w:pPr>
              <w:pStyle w:val="ListParagraph"/>
              <w:widowControl w:val="0"/>
              <w:numPr>
                <w:ilvl w:val="0"/>
                <w:numId w:val="20"/>
              </w:numPr>
              <w:spacing w:after="0" w:line="276" w:lineRule="auto"/>
              <w:ind w:hanging="357"/>
              <w:jc w:val="both"/>
            </w:pPr>
            <w:r w:rsidRPr="00451A30">
              <w:t xml:space="preserve">Specify SIB </w:t>
            </w:r>
            <w:proofErr w:type="spellStart"/>
            <w:r w:rsidRPr="00451A30">
              <w:t>signaling</w:t>
            </w:r>
            <w:proofErr w:type="spellEnd"/>
            <w:r w:rsidRPr="00451A30">
              <w:t xml:space="preserve"> to indicate the intended service area in case the satellite footprint covers a larger area. [RAN2]</w:t>
            </w:r>
          </w:p>
          <w:p w14:paraId="2FC413BF" w14:textId="4F3832B0" w:rsidR="002277FE" w:rsidRPr="00451A30" w:rsidRDefault="002277FE" w:rsidP="009339CB">
            <w:pPr>
              <w:pStyle w:val="ListParagraph"/>
              <w:widowControl w:val="0"/>
              <w:numPr>
                <w:ilvl w:val="0"/>
                <w:numId w:val="20"/>
              </w:numPr>
              <w:spacing w:after="0" w:line="276" w:lineRule="auto"/>
              <w:ind w:hanging="357"/>
              <w:jc w:val="both"/>
            </w:pPr>
            <w:r w:rsidRPr="00451A30">
              <w:t xml:space="preserve">Specify the necessary </w:t>
            </w:r>
            <w:proofErr w:type="spellStart"/>
            <w:r w:rsidRPr="00451A30">
              <w:t>signaling</w:t>
            </w:r>
            <w:proofErr w:type="spellEnd"/>
            <w:r w:rsidRPr="00451A30">
              <w:t xml:space="preserve"> between CN and NG-RAN. [RAN3]</w:t>
            </w:r>
          </w:p>
        </w:tc>
      </w:tr>
    </w:tbl>
    <w:p w14:paraId="4854EE57" w14:textId="59171AD6" w:rsidR="009339CB" w:rsidRPr="00451A30" w:rsidRDefault="002277FE" w:rsidP="009339CB">
      <w:r w:rsidRPr="00451A30">
        <w:br/>
        <w:t>In this paper we present our initial thoughts on what is to be addressed for this Rel-19 objective in RAN2</w:t>
      </w:r>
      <w:r w:rsidR="00B27BA6" w:rsidRPr="00451A30">
        <w:t>.</w:t>
      </w:r>
    </w:p>
    <w:p w14:paraId="7D484B6E" w14:textId="2858E747" w:rsidR="009339CB" w:rsidRPr="00451A30" w:rsidRDefault="009339CB" w:rsidP="009339CB">
      <w:pPr>
        <w:pStyle w:val="Heading1"/>
      </w:pPr>
      <w:r w:rsidRPr="00451A30">
        <w:t>2</w:t>
      </w:r>
      <w:r w:rsidRPr="00451A30">
        <w:tab/>
      </w:r>
      <w:r w:rsidR="00FF6146" w:rsidRPr="00451A30">
        <w:t>Discussion</w:t>
      </w:r>
    </w:p>
    <w:p w14:paraId="5982B445" w14:textId="2F5501C6" w:rsidR="009339CB" w:rsidRPr="00451A30" w:rsidRDefault="009339CB" w:rsidP="009339CB">
      <w:pPr>
        <w:pStyle w:val="Heading2"/>
      </w:pPr>
      <w:r w:rsidRPr="00451A30">
        <w:t>2.1</w:t>
      </w:r>
      <w:r w:rsidRPr="00451A30">
        <w:tab/>
      </w:r>
      <w:r w:rsidR="00B27BA6" w:rsidRPr="00451A30">
        <w:t>Service area – sub-cell or per entire cell</w:t>
      </w:r>
    </w:p>
    <w:p w14:paraId="1ADE17D7" w14:textId="689D5C04" w:rsidR="00982119" w:rsidRDefault="00FF41FF" w:rsidP="00695E76">
      <w:pPr>
        <w:jc w:val="both"/>
      </w:pPr>
      <w:r>
        <w:t xml:space="preserve">First aspect to consider while addressing this objective in Rel-19 is </w:t>
      </w:r>
      <w:r w:rsidR="004A6860">
        <w:t>how large the service area could be.</w:t>
      </w:r>
      <w:r w:rsidR="00B64F8D">
        <w:t xml:space="preserve"> The simplest approach would be to </w:t>
      </w:r>
      <w:r w:rsidR="00982119">
        <w:t>conclude a single cell</w:t>
      </w:r>
      <w:r w:rsidR="005B701E">
        <w:t xml:space="preserve"> is the smallest</w:t>
      </w:r>
      <w:r w:rsidR="004426C7">
        <w:t xml:space="preserve"> possible area which maps to</w:t>
      </w:r>
      <w:r w:rsidR="00982119">
        <w:t xml:space="preserve"> broadcast service area.</w:t>
      </w:r>
      <w:r w:rsidR="00570A85">
        <w:t xml:space="preserve"> Obviously, one MBS area can also stretch over multiple cells.</w:t>
      </w:r>
    </w:p>
    <w:p w14:paraId="4D4CBB64" w14:textId="2C2CEA18" w:rsidR="00982119" w:rsidRPr="00764142" w:rsidRDefault="00982119" w:rsidP="00695E76">
      <w:pPr>
        <w:jc w:val="both"/>
        <w:rPr>
          <w:b/>
          <w:bCs/>
        </w:rPr>
      </w:pPr>
      <w:r w:rsidRPr="00764142">
        <w:rPr>
          <w:b/>
          <w:bCs/>
        </w:rPr>
        <w:t xml:space="preserve">Observation 1: In the simplest </w:t>
      </w:r>
      <w:r w:rsidR="00ED7E59" w:rsidRPr="00764142">
        <w:rPr>
          <w:b/>
          <w:bCs/>
        </w:rPr>
        <w:t xml:space="preserve">approach </w:t>
      </w:r>
      <w:r w:rsidR="00764142" w:rsidRPr="00764142">
        <w:rPr>
          <w:b/>
          <w:bCs/>
        </w:rPr>
        <w:t>the MBS service area can be equal to NTN cell footprint.</w:t>
      </w:r>
    </w:p>
    <w:p w14:paraId="710407F2" w14:textId="5401CD22" w:rsidR="00FF41FF" w:rsidRDefault="00982119" w:rsidP="00695E76">
      <w:pPr>
        <w:jc w:val="both"/>
      </w:pPr>
      <w:r>
        <w:t>However,</w:t>
      </w:r>
      <w:r w:rsidR="004A6860">
        <w:t xml:space="preserve"> </w:t>
      </w:r>
      <w:r w:rsidR="002E7E26">
        <w:t>especially in case of GEO (</w:t>
      </w:r>
      <w:r w:rsidR="0085279F">
        <w:t>GSO) satellites the footprint could be very large, e.g. spanning over 200 kilometres so</w:t>
      </w:r>
      <w:r w:rsidR="00E3156B">
        <w:t xml:space="preserve"> hard to imagine there could be an MBS service area which needs to be that large. </w:t>
      </w:r>
    </w:p>
    <w:p w14:paraId="7EE0A63B" w14:textId="1DFE109D" w:rsidR="005F4A70" w:rsidRPr="000843F3" w:rsidRDefault="005F4A70" w:rsidP="00695E76">
      <w:pPr>
        <w:jc w:val="both"/>
        <w:rPr>
          <w:b/>
          <w:bCs/>
        </w:rPr>
      </w:pPr>
      <w:r w:rsidRPr="000843F3">
        <w:rPr>
          <w:b/>
          <w:bCs/>
        </w:rPr>
        <w:t xml:space="preserve">Observation 2: </w:t>
      </w:r>
      <w:r w:rsidR="00F11615" w:rsidRPr="000843F3">
        <w:rPr>
          <w:b/>
          <w:bCs/>
        </w:rPr>
        <w:t xml:space="preserve">The </w:t>
      </w:r>
      <w:r w:rsidR="00126ADE" w:rsidRPr="000843F3">
        <w:rPr>
          <w:b/>
          <w:bCs/>
        </w:rPr>
        <w:t xml:space="preserve">footprint of GEO satellites could stretch over hundreds of kilometres which is likely much larger than any MBS service area needs to be. </w:t>
      </w:r>
    </w:p>
    <w:p w14:paraId="45A87E38" w14:textId="71FFD6B1" w:rsidR="00510CFC" w:rsidRDefault="00B436FE" w:rsidP="00695E76">
      <w:pPr>
        <w:jc w:val="both"/>
      </w:pPr>
      <w:r>
        <w:t xml:space="preserve">RAN2 </w:t>
      </w:r>
      <w:r w:rsidR="0016543D">
        <w:t xml:space="preserve">needs to decide if the issue described in Observation 2 is a valid concern. </w:t>
      </w:r>
      <w:r w:rsidR="00E94904">
        <w:t xml:space="preserve">Namely, if the fact that MBS service area is larger than </w:t>
      </w:r>
      <w:r w:rsidR="008F2936">
        <w:t>intended area where MBS should be available</w:t>
      </w:r>
      <w:r w:rsidR="00512B36">
        <w:t xml:space="preserve"> should be addressed somehow.</w:t>
      </w:r>
      <w:r w:rsidR="008F2936">
        <w:t xml:space="preserve"> </w:t>
      </w:r>
    </w:p>
    <w:p w14:paraId="2DDFBE41" w14:textId="26416C29" w:rsidR="00510CFC" w:rsidRPr="00081635" w:rsidRDefault="00510CFC" w:rsidP="00695E76">
      <w:pPr>
        <w:jc w:val="both"/>
        <w:rPr>
          <w:b/>
          <w:bCs/>
        </w:rPr>
      </w:pPr>
      <w:r w:rsidRPr="00081635">
        <w:rPr>
          <w:b/>
          <w:bCs/>
        </w:rPr>
        <w:t xml:space="preserve">Proposal 1: </w:t>
      </w:r>
      <w:r w:rsidR="00512B36" w:rsidRPr="00081635">
        <w:rPr>
          <w:b/>
          <w:bCs/>
        </w:rPr>
        <w:t xml:space="preserve">RAN2 is asked to decide if </w:t>
      </w:r>
      <w:r w:rsidR="00A53E3F" w:rsidRPr="00081635">
        <w:rPr>
          <w:b/>
          <w:bCs/>
        </w:rPr>
        <w:t>it is problematic when MBS service area is larger than intended area where MBS should be available.</w:t>
      </w:r>
    </w:p>
    <w:p w14:paraId="17212C19" w14:textId="2A40E49D" w:rsidR="00051454" w:rsidRDefault="00112332" w:rsidP="00695E76">
      <w:pPr>
        <w:jc w:val="both"/>
      </w:pPr>
      <w:r>
        <w:t xml:space="preserve">If the conclusion in RAN2 is that a smaller than cell-level MBS service area needs to be </w:t>
      </w:r>
      <w:r w:rsidR="00D71B0D">
        <w:t>supported,</w:t>
      </w:r>
      <w:r w:rsidR="0016543D">
        <w:t xml:space="preserve"> </w:t>
      </w:r>
      <w:r>
        <w:t xml:space="preserve">then </w:t>
      </w:r>
      <w:r w:rsidR="00630627">
        <w:t xml:space="preserve">RAN2 has a plethora of solutions already available. </w:t>
      </w:r>
      <w:r w:rsidR="00D71B0D">
        <w:t xml:space="preserve">For example, </w:t>
      </w:r>
      <w:r w:rsidR="00DE48AF">
        <w:t xml:space="preserve">as a part of </w:t>
      </w:r>
      <w:r w:rsidR="00CC7798">
        <w:t>NTN enhancements</w:t>
      </w:r>
      <w:r w:rsidR="00DE48AF">
        <w:t xml:space="preserve"> in Release 18, 3GPP defined the support for</w:t>
      </w:r>
      <w:r w:rsidR="00171362">
        <w:t xml:space="preserve"> </w:t>
      </w:r>
      <w:r w:rsidR="001E5A2B">
        <w:t>terrestrial network (</w:t>
      </w:r>
      <w:r w:rsidR="00171362">
        <w:t>TN</w:t>
      </w:r>
      <w:r w:rsidR="001E5A2B">
        <w:t>)</w:t>
      </w:r>
      <w:r w:rsidR="00171362">
        <w:t xml:space="preserve"> coverage area signalling. A new system information block (SIB25)</w:t>
      </w:r>
      <w:r w:rsidR="00051454">
        <w:t xml:space="preserve"> conveys the following information elements (IEs)</w:t>
      </w:r>
      <w:r w:rsidR="004F52D8">
        <w:t xml:space="preserve"> [2]</w:t>
      </w:r>
      <w:r w:rsidR="00051454"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4F52D8" w14:paraId="050911F5" w14:textId="77777777" w:rsidTr="004F52D8">
        <w:tc>
          <w:tcPr>
            <w:tcW w:w="9631" w:type="dxa"/>
          </w:tcPr>
          <w:p w14:paraId="6735434F" w14:textId="77777777" w:rsidR="004F52D8" w:rsidRPr="004F52D8" w:rsidRDefault="004F52D8" w:rsidP="004F52D8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noProof/>
                <w:sz w:val="16"/>
                <w:lang w:eastAsia="en-GB"/>
              </w:rPr>
            </w:pPr>
            <w:r w:rsidRPr="004F52D8">
              <w:rPr>
                <w:rFonts w:ascii="Courier New" w:hAnsi="Courier New"/>
                <w:noProof/>
                <w:sz w:val="16"/>
                <w:lang w:eastAsia="en-GB"/>
              </w:rPr>
              <w:t xml:space="preserve">CoverageAreaInfo-r18 ::=       </w:t>
            </w:r>
            <w:r w:rsidRPr="004F52D8">
              <w:rPr>
                <w:rFonts w:ascii="Courier New" w:hAnsi="Courier New"/>
                <w:noProof/>
                <w:color w:val="993366"/>
                <w:sz w:val="16"/>
                <w:lang w:eastAsia="en-GB"/>
              </w:rPr>
              <w:t>SEQUENCE</w:t>
            </w:r>
            <w:r w:rsidRPr="004F52D8">
              <w:rPr>
                <w:rFonts w:ascii="Courier New" w:hAnsi="Courier New"/>
                <w:noProof/>
                <w:sz w:val="16"/>
                <w:lang w:eastAsia="en-GB"/>
              </w:rPr>
              <w:t xml:space="preserve"> {</w:t>
            </w:r>
          </w:p>
          <w:p w14:paraId="016425AA" w14:textId="77777777" w:rsidR="004F52D8" w:rsidRPr="004F52D8" w:rsidRDefault="004F52D8" w:rsidP="004F52D8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noProof/>
                <w:sz w:val="16"/>
                <w:lang w:eastAsia="en-GB"/>
              </w:rPr>
            </w:pPr>
            <w:r w:rsidRPr="004F52D8">
              <w:rPr>
                <w:rFonts w:ascii="Courier New" w:hAnsi="Courier New"/>
                <w:noProof/>
                <w:sz w:val="16"/>
                <w:lang w:eastAsia="en-GB"/>
              </w:rPr>
              <w:t xml:space="preserve">    tn-AreaId-r18                  TN-AreaId-r18,</w:t>
            </w:r>
          </w:p>
          <w:p w14:paraId="7A0596D0" w14:textId="77777777" w:rsidR="004F52D8" w:rsidRPr="004F52D8" w:rsidRDefault="004F52D8" w:rsidP="004F52D8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noProof/>
                <w:sz w:val="16"/>
                <w:lang w:eastAsia="en-GB"/>
              </w:rPr>
            </w:pPr>
            <w:r w:rsidRPr="004F52D8">
              <w:rPr>
                <w:rFonts w:ascii="Courier New" w:hAnsi="Courier New"/>
                <w:noProof/>
                <w:sz w:val="16"/>
                <w:lang w:eastAsia="en-GB"/>
              </w:rPr>
              <w:t xml:space="preserve">    tn-ReferenceLocation-r18       ReferenceLocation-r17,</w:t>
            </w:r>
          </w:p>
          <w:p w14:paraId="4377A246" w14:textId="77777777" w:rsidR="004F52D8" w:rsidRPr="004F52D8" w:rsidRDefault="004F52D8" w:rsidP="004F52D8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noProof/>
                <w:sz w:val="16"/>
                <w:lang w:eastAsia="en-GB"/>
              </w:rPr>
            </w:pPr>
            <w:r w:rsidRPr="004F52D8">
              <w:rPr>
                <w:rFonts w:ascii="Courier New" w:hAnsi="Courier New"/>
                <w:noProof/>
                <w:sz w:val="16"/>
                <w:lang w:eastAsia="en-GB"/>
              </w:rPr>
              <w:t xml:space="preserve">    tn-DistanceRadius-r18          </w:t>
            </w:r>
            <w:r w:rsidRPr="004F52D8">
              <w:rPr>
                <w:rFonts w:ascii="Courier New" w:hAnsi="Courier New"/>
                <w:noProof/>
                <w:color w:val="993366"/>
                <w:sz w:val="16"/>
                <w:lang w:eastAsia="en-GB"/>
              </w:rPr>
              <w:t>INTEGER</w:t>
            </w:r>
            <w:r w:rsidRPr="004F52D8">
              <w:rPr>
                <w:rFonts w:ascii="Courier New" w:hAnsi="Courier New"/>
                <w:noProof/>
                <w:sz w:val="16"/>
                <w:lang w:eastAsia="en-GB"/>
              </w:rPr>
              <w:t>(0..65536)</w:t>
            </w:r>
          </w:p>
          <w:p w14:paraId="6EB3DBED" w14:textId="4098676B" w:rsidR="004F52D8" w:rsidRPr="004F52D8" w:rsidRDefault="004F52D8" w:rsidP="004F52D8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noProof/>
                <w:sz w:val="16"/>
                <w:lang w:eastAsia="en-GB"/>
              </w:rPr>
            </w:pPr>
            <w:r w:rsidRPr="004F52D8">
              <w:rPr>
                <w:rFonts w:ascii="Courier New" w:hAnsi="Courier New"/>
                <w:noProof/>
                <w:sz w:val="16"/>
                <w:lang w:eastAsia="en-GB"/>
              </w:rPr>
              <w:t>}</w:t>
            </w:r>
          </w:p>
        </w:tc>
      </w:tr>
    </w:tbl>
    <w:p w14:paraId="175CEE1E" w14:textId="61786BBF" w:rsidR="009339CB" w:rsidRDefault="001E5A2B" w:rsidP="00695E76">
      <w:pPr>
        <w:jc w:val="both"/>
      </w:pPr>
      <w:r>
        <w:lastRenderedPageBreak/>
        <w:br/>
      </w:r>
      <w:r w:rsidR="00D510FC">
        <w:t>TN coverage area is described using a reference location and the radius</w:t>
      </w:r>
      <w:r w:rsidR="00571969">
        <w:t>. T</w:t>
      </w:r>
      <w:r w:rsidR="003F60BE">
        <w:t xml:space="preserve">ogether they constitute a circular area with a centre defined by the </w:t>
      </w:r>
      <w:proofErr w:type="spellStart"/>
      <w:r w:rsidR="003F60BE" w:rsidRPr="003F60BE">
        <w:rPr>
          <w:i/>
          <w:iCs/>
        </w:rPr>
        <w:t>referenceLocation</w:t>
      </w:r>
      <w:proofErr w:type="spellEnd"/>
      <w:r w:rsidR="003F60BE">
        <w:t xml:space="preserve"> IE.</w:t>
      </w:r>
      <w:r w:rsidR="00571969">
        <w:t xml:space="preserve"> In our understanding, if MBS service areas do not require a signalling that would reflect their irregular shapes (i.e. other than a circle) then a similar signalling framework could be used in NTN cells.</w:t>
      </w:r>
    </w:p>
    <w:p w14:paraId="69E747EC" w14:textId="7CE39D1F" w:rsidR="00571969" w:rsidRPr="00C807C0" w:rsidRDefault="00571969" w:rsidP="00695E76">
      <w:pPr>
        <w:jc w:val="both"/>
        <w:rPr>
          <w:b/>
          <w:bCs/>
        </w:rPr>
      </w:pPr>
      <w:r w:rsidRPr="00C807C0">
        <w:rPr>
          <w:b/>
          <w:bCs/>
        </w:rPr>
        <w:t xml:space="preserve">Proposal 2: </w:t>
      </w:r>
      <w:r w:rsidR="00C807C0" w:rsidRPr="00C807C0">
        <w:rPr>
          <w:b/>
          <w:bCs/>
        </w:rPr>
        <w:t xml:space="preserve">RAN2 considers if a similar signalling framework as defined for </w:t>
      </w:r>
      <w:proofErr w:type="spellStart"/>
      <w:r w:rsidR="00C807C0" w:rsidRPr="00C807C0">
        <w:rPr>
          <w:b/>
          <w:bCs/>
          <w:i/>
          <w:iCs/>
        </w:rPr>
        <w:t>CoverageAreaInfo</w:t>
      </w:r>
      <w:proofErr w:type="spellEnd"/>
      <w:r w:rsidR="00C807C0" w:rsidRPr="00C807C0">
        <w:rPr>
          <w:b/>
          <w:bCs/>
        </w:rPr>
        <w:t xml:space="preserve"> in SIB25 can be used for reflecting the MBS service area. </w:t>
      </w:r>
    </w:p>
    <w:p w14:paraId="6327A5E6" w14:textId="16AADF56" w:rsidR="009339CB" w:rsidRPr="00451A30" w:rsidRDefault="009339CB" w:rsidP="00695E76">
      <w:pPr>
        <w:pStyle w:val="Heading2"/>
        <w:jc w:val="both"/>
      </w:pPr>
      <w:r w:rsidRPr="00451A30">
        <w:t>2.2</w:t>
      </w:r>
      <w:r w:rsidRPr="00451A30">
        <w:tab/>
      </w:r>
      <w:r w:rsidR="00451A30" w:rsidRPr="00451A30">
        <w:t>Supporting</w:t>
      </w:r>
      <w:r w:rsidR="00B27BA6" w:rsidRPr="00451A30">
        <w:t xml:space="preserve"> MBS in Earth-moving case</w:t>
      </w:r>
    </w:p>
    <w:p w14:paraId="031460D2" w14:textId="03D60C12" w:rsidR="00B27BA6" w:rsidRDefault="00F05560" w:rsidP="00695E76">
      <w:pPr>
        <w:jc w:val="both"/>
      </w:pPr>
      <w:r>
        <w:t xml:space="preserve">A new problem for MBS signalling is obviously the fact satellites in NTN system are </w:t>
      </w:r>
      <w:r w:rsidR="00F166FA">
        <w:t xml:space="preserve">in </w:t>
      </w:r>
      <w:r w:rsidR="001C01F5">
        <w:t>continuous</w:t>
      </w:r>
      <w:r>
        <w:t xml:space="preserve"> motion. Thus, for example in EMC the footprint will be continuously </w:t>
      </w:r>
      <w:r w:rsidR="00695E76">
        <w:t>moving,</w:t>
      </w:r>
      <w:r>
        <w:t xml:space="preserve"> and particular satellite</w:t>
      </w:r>
      <w:r w:rsidR="00B002D6">
        <w:t xml:space="preserve"> will be able to provide MBS just temporarily in certain area.</w:t>
      </w:r>
    </w:p>
    <w:p w14:paraId="43FFFDF9" w14:textId="59999C7D" w:rsidR="00B002D6" w:rsidRPr="000F232F" w:rsidRDefault="00B002D6" w:rsidP="00695E76">
      <w:pPr>
        <w:jc w:val="both"/>
        <w:rPr>
          <w:b/>
          <w:bCs/>
        </w:rPr>
      </w:pPr>
      <w:r w:rsidRPr="000F232F">
        <w:rPr>
          <w:b/>
          <w:bCs/>
        </w:rPr>
        <w:t xml:space="preserve">Observation 3: </w:t>
      </w:r>
      <w:r w:rsidR="00CC196B" w:rsidRPr="000F232F">
        <w:rPr>
          <w:b/>
          <w:bCs/>
        </w:rPr>
        <w:t xml:space="preserve">MBS service will be provided by certain satellite only during limited period (i.e. when satellite’s footprint overlaps with the </w:t>
      </w:r>
      <w:r w:rsidR="002875FA">
        <w:rPr>
          <w:b/>
          <w:bCs/>
        </w:rPr>
        <w:t xml:space="preserve">MBS </w:t>
      </w:r>
      <w:r w:rsidR="00CC196B" w:rsidRPr="000F232F">
        <w:rPr>
          <w:b/>
          <w:bCs/>
        </w:rPr>
        <w:t>area</w:t>
      </w:r>
      <w:r w:rsidR="002875FA">
        <w:rPr>
          <w:b/>
          <w:bCs/>
        </w:rPr>
        <w:t>).</w:t>
      </w:r>
      <w:r w:rsidR="00CC196B" w:rsidRPr="000F232F">
        <w:rPr>
          <w:b/>
          <w:bCs/>
        </w:rPr>
        <w:t xml:space="preserve"> </w:t>
      </w:r>
    </w:p>
    <w:p w14:paraId="60D48845" w14:textId="636C75F9" w:rsidR="00B002D6" w:rsidRDefault="001A18AB" w:rsidP="00695E76">
      <w:pPr>
        <w:jc w:val="both"/>
      </w:pPr>
      <w:r>
        <w:t xml:space="preserve">Thus, </w:t>
      </w:r>
      <w:r w:rsidR="002366CE">
        <w:t xml:space="preserve">cell identifiers </w:t>
      </w:r>
      <w:r w:rsidR="007B2AC2">
        <w:t xml:space="preserve">associated with the MBS service area will change over time. </w:t>
      </w:r>
    </w:p>
    <w:p w14:paraId="60B97EDE" w14:textId="48F885F2" w:rsidR="007B2AC2" w:rsidRDefault="007B2AC2" w:rsidP="00695E76">
      <w:pPr>
        <w:jc w:val="both"/>
      </w:pPr>
      <w:r w:rsidRPr="00F97784">
        <w:rPr>
          <w:b/>
          <w:bCs/>
        </w:rPr>
        <w:t>Observation 4:</w:t>
      </w:r>
      <w:r w:rsidR="00F97784" w:rsidRPr="00F97784">
        <w:rPr>
          <w:b/>
          <w:bCs/>
        </w:rPr>
        <w:t xml:space="preserve"> MBS service area</w:t>
      </w:r>
      <w:r w:rsidR="00E96C9B">
        <w:rPr>
          <w:b/>
          <w:bCs/>
        </w:rPr>
        <w:t xml:space="preserve"> provided by NTN</w:t>
      </w:r>
      <w:r w:rsidR="00F97784" w:rsidRPr="00F97784">
        <w:rPr>
          <w:b/>
          <w:bCs/>
        </w:rPr>
        <w:t xml:space="preserve"> will be covered by cells whose identifiers change over time.</w:t>
      </w:r>
      <w:r w:rsidRPr="00F97784">
        <w:rPr>
          <w:b/>
          <w:bCs/>
        </w:rPr>
        <w:t xml:space="preserve"> </w:t>
      </w:r>
    </w:p>
    <w:p w14:paraId="12CE7564" w14:textId="3716A0BB" w:rsidR="007D7AC3" w:rsidRDefault="00586BC0" w:rsidP="00695E76">
      <w:pPr>
        <w:jc w:val="both"/>
      </w:pPr>
      <w:r>
        <w:t xml:space="preserve">On the other hand, current MBS framework </w:t>
      </w:r>
      <w:r w:rsidR="00A81E64">
        <w:t xml:space="preserve">was designed considering earth-fixed cells without moving </w:t>
      </w:r>
      <w:proofErr w:type="spellStart"/>
      <w:r w:rsidR="00A81E64">
        <w:t>gNBs</w:t>
      </w:r>
      <w:proofErr w:type="spellEnd"/>
      <w:r w:rsidR="00A81E64">
        <w:t xml:space="preserve">. For example, a broadcast session </w:t>
      </w:r>
      <w:r w:rsidR="00B056DB">
        <w:t xml:space="preserve">that is initiated from an application function is forwarded to the </w:t>
      </w:r>
      <w:proofErr w:type="spellStart"/>
      <w:r w:rsidR="00B056DB">
        <w:t>gNBs</w:t>
      </w:r>
      <w:proofErr w:type="spellEnd"/>
      <w:r w:rsidR="00B056DB">
        <w:t xml:space="preserve"> in the MBS service area</w:t>
      </w:r>
      <w:r w:rsidR="00843001">
        <w:t xml:space="preserve">. More specifically, AMF picks the </w:t>
      </w:r>
      <w:proofErr w:type="spellStart"/>
      <w:r w:rsidR="00843001">
        <w:t>gNBs</w:t>
      </w:r>
      <w:proofErr w:type="spellEnd"/>
      <w:r w:rsidR="00843001">
        <w:t xml:space="preserve"> that reside in the service area of the MBS </w:t>
      </w:r>
      <w:r w:rsidR="00695E76">
        <w:t>session and</w:t>
      </w:r>
      <w:r w:rsidR="00843001">
        <w:t xml:space="preserve"> sends Broadcast Setup Request only to those </w:t>
      </w:r>
      <w:proofErr w:type="spellStart"/>
      <w:r w:rsidR="00843001">
        <w:t>gNBs</w:t>
      </w:r>
      <w:proofErr w:type="spellEnd"/>
      <w:r w:rsidR="00843001">
        <w:t>.</w:t>
      </w:r>
      <w:r w:rsidR="00805467">
        <w:t xml:space="preserve"> </w:t>
      </w:r>
    </w:p>
    <w:p w14:paraId="2913A916" w14:textId="3D7B2FE5" w:rsidR="007D7AC3" w:rsidRPr="003203DE" w:rsidRDefault="007D7AC3" w:rsidP="00695E76">
      <w:pPr>
        <w:jc w:val="both"/>
        <w:rPr>
          <w:b/>
          <w:bCs/>
        </w:rPr>
      </w:pPr>
      <w:r w:rsidRPr="003203DE">
        <w:rPr>
          <w:b/>
          <w:bCs/>
        </w:rPr>
        <w:t xml:space="preserve">Observation 5: </w:t>
      </w:r>
      <w:r w:rsidR="00373F9F">
        <w:rPr>
          <w:b/>
          <w:bCs/>
        </w:rPr>
        <w:t xml:space="preserve">In legacy MBS design AMF selects </w:t>
      </w:r>
      <w:proofErr w:type="spellStart"/>
      <w:r w:rsidR="00373F9F">
        <w:rPr>
          <w:b/>
          <w:bCs/>
        </w:rPr>
        <w:t>gNBs</w:t>
      </w:r>
      <w:proofErr w:type="spellEnd"/>
      <w:r w:rsidR="00373F9F">
        <w:rPr>
          <w:b/>
          <w:bCs/>
        </w:rPr>
        <w:t xml:space="preserve"> that are located in the service area </w:t>
      </w:r>
      <w:r w:rsidR="00AD0404">
        <w:rPr>
          <w:b/>
          <w:bCs/>
        </w:rPr>
        <w:t>corresponding to MBS session.</w:t>
      </w:r>
    </w:p>
    <w:p w14:paraId="09AD0007" w14:textId="486C9F18" w:rsidR="00586BC0" w:rsidRDefault="00843001" w:rsidP="00695E76">
      <w:pPr>
        <w:jc w:val="both"/>
      </w:pPr>
      <w:r>
        <w:t xml:space="preserve">However, currently there is no mechanism </w:t>
      </w:r>
      <w:r w:rsidR="008B3A8F">
        <w:t>for moving cells,</w:t>
      </w:r>
      <w:r w:rsidR="0013339E">
        <w:t xml:space="preserve"> e.g., a </w:t>
      </w:r>
      <w:proofErr w:type="spellStart"/>
      <w:r w:rsidR="0013339E">
        <w:t>gNB</w:t>
      </w:r>
      <w:proofErr w:type="spellEnd"/>
      <w:r w:rsidR="0013339E">
        <w:t xml:space="preserve"> coming into an MBS service area cannot dynamically receive</w:t>
      </w:r>
      <w:r w:rsidR="005563FF">
        <w:t>/release Broadcast Session</w:t>
      </w:r>
      <w:r w:rsidR="008B3A8F">
        <w:t>.</w:t>
      </w:r>
      <w:r w:rsidR="00B55EC0">
        <w:t xml:space="preserve"> If RAN2 agrees there is a need to support such scenario, we shall</w:t>
      </w:r>
      <w:r w:rsidR="001900CE">
        <w:t xml:space="preserve"> also</w:t>
      </w:r>
      <w:r w:rsidR="00B55EC0">
        <w:t xml:space="preserve"> let RAN3 know there </w:t>
      </w:r>
      <w:r w:rsidR="00844E88">
        <w:t>is a need to define a corresponding network signalling.</w:t>
      </w:r>
      <w:r w:rsidR="005563FF">
        <w:t xml:space="preserve"> </w:t>
      </w:r>
    </w:p>
    <w:p w14:paraId="6EC6D47E" w14:textId="56A0E024" w:rsidR="007F76BF" w:rsidRPr="00451A30" w:rsidRDefault="00AC3835" w:rsidP="00695E76">
      <w:pPr>
        <w:jc w:val="both"/>
      </w:pPr>
      <w:r w:rsidRPr="003203DE">
        <w:rPr>
          <w:b/>
          <w:bCs/>
        </w:rPr>
        <w:t xml:space="preserve">Proposal </w:t>
      </w:r>
      <w:r w:rsidR="00CF4F19">
        <w:rPr>
          <w:b/>
          <w:bCs/>
        </w:rPr>
        <w:t>3</w:t>
      </w:r>
      <w:r w:rsidRPr="003203DE">
        <w:rPr>
          <w:b/>
          <w:bCs/>
        </w:rPr>
        <w:t xml:space="preserve">: </w:t>
      </w:r>
      <w:r w:rsidR="001900CE">
        <w:rPr>
          <w:b/>
          <w:bCs/>
        </w:rPr>
        <w:t>If RAN2 supports MBS via EMC in NTN, RAN2 sends the LS to RAN3</w:t>
      </w:r>
      <w:r w:rsidR="007A6E31">
        <w:rPr>
          <w:b/>
          <w:bCs/>
        </w:rPr>
        <w:t xml:space="preserve"> asking this WG to define corresponding NW signalling. </w:t>
      </w:r>
    </w:p>
    <w:p w14:paraId="399B34DF" w14:textId="56C20452" w:rsidR="00B27BA6" w:rsidRPr="00451A30" w:rsidRDefault="00B27BA6" w:rsidP="00695E76">
      <w:pPr>
        <w:pStyle w:val="Heading2"/>
        <w:jc w:val="both"/>
      </w:pPr>
      <w:r w:rsidRPr="00451A30">
        <w:t>2.3</w:t>
      </w:r>
      <w:r w:rsidRPr="00451A30">
        <w:tab/>
        <w:t>SIB or MCCH messages for signalling</w:t>
      </w:r>
    </w:p>
    <w:p w14:paraId="23315883" w14:textId="77777777" w:rsidR="00C53BEB" w:rsidRDefault="00E45194" w:rsidP="00695E76">
      <w:pPr>
        <w:jc w:val="both"/>
      </w:pPr>
      <w:r>
        <w:t xml:space="preserve">According to the MBS description in [2], the </w:t>
      </w:r>
      <w:r w:rsidR="006E2242">
        <w:t xml:space="preserve">MBS configuration information is carried on MCCH logical channel. </w:t>
      </w:r>
      <w:r w:rsidR="00677518">
        <w:t>It comprises the information on the MBS broadcast sessions that are provided</w:t>
      </w:r>
      <w:r w:rsidR="00772B1C">
        <w:t xml:space="preserve">, </w:t>
      </w:r>
      <w:r w:rsidR="00677518">
        <w:t>related scheduling information</w:t>
      </w:r>
      <w:r w:rsidR="00772B1C">
        <w:t xml:space="preserve"> and it can also contain the list of neighbour cells where the same broadcast MBS services are provided</w:t>
      </w:r>
      <w:r w:rsidR="00677518">
        <w:t>.</w:t>
      </w:r>
    </w:p>
    <w:p w14:paraId="75B10679" w14:textId="74C3A49C" w:rsidR="00C53BEB" w:rsidRPr="00A27B3C" w:rsidRDefault="00C53BEB" w:rsidP="00695E76">
      <w:pPr>
        <w:jc w:val="both"/>
        <w:rPr>
          <w:b/>
          <w:bCs/>
        </w:rPr>
      </w:pPr>
      <w:r w:rsidRPr="00A27B3C">
        <w:rPr>
          <w:b/>
          <w:bCs/>
        </w:rPr>
        <w:t xml:space="preserve">Observation </w:t>
      </w:r>
      <w:r w:rsidR="00E55731">
        <w:rPr>
          <w:b/>
          <w:bCs/>
        </w:rPr>
        <w:t>6</w:t>
      </w:r>
      <w:r w:rsidRPr="00A27B3C">
        <w:rPr>
          <w:b/>
          <w:bCs/>
        </w:rPr>
        <w:t xml:space="preserve">: </w:t>
      </w:r>
      <w:r w:rsidR="004E0569" w:rsidRPr="00A27B3C">
        <w:rPr>
          <w:b/>
          <w:bCs/>
        </w:rPr>
        <w:t xml:space="preserve">MCCH provides the </w:t>
      </w:r>
      <w:r w:rsidR="00A27B3C" w:rsidRPr="00A27B3C">
        <w:rPr>
          <w:b/>
          <w:bCs/>
        </w:rPr>
        <w:t>list of MBS broadcast sessions, scheduling information and the list of neighbours with the same MBS services.</w:t>
      </w:r>
    </w:p>
    <w:p w14:paraId="0381B715" w14:textId="6C857D57" w:rsidR="00B27BA6" w:rsidRDefault="0071550E" w:rsidP="00695E76">
      <w:pPr>
        <w:jc w:val="both"/>
      </w:pPr>
      <w:r>
        <w:t>One of t</w:t>
      </w:r>
      <w:r w:rsidR="00E8117A">
        <w:t>he Rel-19 NTN question</w:t>
      </w:r>
      <w:r>
        <w:t>s that</w:t>
      </w:r>
      <w:r w:rsidR="00E8117A">
        <w:t xml:space="preserve"> remain</w:t>
      </w:r>
      <w:r>
        <w:t xml:space="preserve"> is</w:t>
      </w:r>
      <w:r w:rsidR="00677518">
        <w:t xml:space="preserve"> </w:t>
      </w:r>
      <w:r w:rsidR="00E8117A">
        <w:t xml:space="preserve">where a corresponding information is to be provided for NTN cells </w:t>
      </w:r>
      <w:r w:rsidR="004D7916">
        <w:t xml:space="preserve">supporting MBS. </w:t>
      </w:r>
      <w:r w:rsidR="00E24CA0">
        <w:t xml:space="preserve">For example, </w:t>
      </w:r>
      <w:r w:rsidR="00B81A81">
        <w:t xml:space="preserve">if </w:t>
      </w:r>
      <w:r w:rsidR="0018281B">
        <w:t>intended service area</w:t>
      </w:r>
      <w:r w:rsidR="00E24CA0">
        <w:t xml:space="preserve"> information is provided in SIB</w:t>
      </w:r>
      <w:r w:rsidR="00892F49">
        <w:t>s</w:t>
      </w:r>
      <w:r w:rsidR="00E24CA0">
        <w:t xml:space="preserve">, then we need a separate list of provided broadcast sessions in the cell, although </w:t>
      </w:r>
      <w:r w:rsidR="00975BA8">
        <w:t xml:space="preserve">the list already exists in the MCCH. Another approach could be providing </w:t>
      </w:r>
      <w:r w:rsidR="007B3315">
        <w:t>the intended service area for each broadcast sessions in the MCCH in the same order.</w:t>
      </w:r>
    </w:p>
    <w:p w14:paraId="0E7C5E6C" w14:textId="1EC2E1CA" w:rsidR="004D7916" w:rsidRPr="003203DE" w:rsidRDefault="001F157C" w:rsidP="00695E76">
      <w:pPr>
        <w:jc w:val="both"/>
        <w:rPr>
          <w:b/>
          <w:bCs/>
        </w:rPr>
      </w:pPr>
      <w:r w:rsidRPr="003203DE">
        <w:rPr>
          <w:b/>
          <w:bCs/>
        </w:rPr>
        <w:t xml:space="preserve">Proposal 4: RAN2 discusses how/whether to split the MBS related information (such as </w:t>
      </w:r>
      <w:r w:rsidR="00933BAF" w:rsidRPr="003203DE">
        <w:rPr>
          <w:b/>
          <w:bCs/>
        </w:rPr>
        <w:t xml:space="preserve">list of MBS sessions, scheduling information, etc.) between SIB </w:t>
      </w:r>
      <w:r w:rsidR="006344FA">
        <w:rPr>
          <w:b/>
          <w:bCs/>
        </w:rPr>
        <w:t>and</w:t>
      </w:r>
      <w:r w:rsidR="00933BAF" w:rsidRPr="003203DE">
        <w:rPr>
          <w:b/>
          <w:bCs/>
        </w:rPr>
        <w:t xml:space="preserve"> MCCH.</w:t>
      </w:r>
    </w:p>
    <w:p w14:paraId="69B7B8E6" w14:textId="69E07FC9" w:rsidR="009339CB" w:rsidRPr="00451A30" w:rsidRDefault="005A13AB" w:rsidP="009339CB">
      <w:pPr>
        <w:pStyle w:val="Heading1"/>
      </w:pPr>
      <w:r w:rsidRPr="00451A30">
        <w:t>3</w:t>
      </w:r>
      <w:r w:rsidR="009339CB" w:rsidRPr="00451A30">
        <w:tab/>
        <w:t>Conclusion</w:t>
      </w:r>
    </w:p>
    <w:p w14:paraId="6E24B0F4" w14:textId="22F987CD" w:rsidR="009339CB" w:rsidRPr="00451A30" w:rsidRDefault="004C6AC7" w:rsidP="00695E76">
      <w:pPr>
        <w:jc w:val="both"/>
      </w:pPr>
      <w:r>
        <w:t>In t</w:t>
      </w:r>
      <w:r w:rsidR="009339CB" w:rsidRPr="00451A30">
        <w:t>his document the following observations</w:t>
      </w:r>
      <w:r w:rsidR="002277FE" w:rsidRPr="00451A30">
        <w:t xml:space="preserve"> and proposals</w:t>
      </w:r>
      <w:r>
        <w:t xml:space="preserve"> have been made</w:t>
      </w:r>
      <w:r w:rsidR="009339CB" w:rsidRPr="00451A30">
        <w:t>:</w:t>
      </w:r>
    </w:p>
    <w:p w14:paraId="5DC6CA6C" w14:textId="77777777" w:rsidR="003203DE" w:rsidRPr="00764142" w:rsidRDefault="003203DE" w:rsidP="00695E76">
      <w:pPr>
        <w:jc w:val="both"/>
        <w:rPr>
          <w:b/>
          <w:bCs/>
        </w:rPr>
      </w:pPr>
      <w:r w:rsidRPr="00764142">
        <w:rPr>
          <w:b/>
          <w:bCs/>
        </w:rPr>
        <w:t>Observation 1: In the simplest approach the MBS service area can be equal to NTN cell footprint.</w:t>
      </w:r>
    </w:p>
    <w:p w14:paraId="699AE6EB" w14:textId="77777777" w:rsidR="003203DE" w:rsidRDefault="003203DE" w:rsidP="00695E76">
      <w:pPr>
        <w:jc w:val="both"/>
        <w:rPr>
          <w:b/>
          <w:bCs/>
        </w:rPr>
      </w:pPr>
      <w:r w:rsidRPr="000843F3">
        <w:rPr>
          <w:b/>
          <w:bCs/>
        </w:rPr>
        <w:t xml:space="preserve">Observation 2: The footprint of GEO satellites could stretch over hundreds of kilometres which is likely much larger than any MBS service area needs to be. </w:t>
      </w:r>
    </w:p>
    <w:p w14:paraId="3094E1FB" w14:textId="684D24A1" w:rsidR="003203DE" w:rsidRPr="000843F3" w:rsidRDefault="003203DE" w:rsidP="00695E76">
      <w:pPr>
        <w:jc w:val="both"/>
        <w:rPr>
          <w:b/>
          <w:bCs/>
        </w:rPr>
      </w:pPr>
      <w:r w:rsidRPr="00081635">
        <w:rPr>
          <w:b/>
          <w:bCs/>
        </w:rPr>
        <w:lastRenderedPageBreak/>
        <w:t>Proposal 1: RAN2 is asked to decide if it is problematic when MBS service area is larger than intended area where MBS should be available</w:t>
      </w:r>
      <w:r>
        <w:rPr>
          <w:b/>
          <w:bCs/>
        </w:rPr>
        <w:t>.</w:t>
      </w:r>
    </w:p>
    <w:p w14:paraId="7537CA5E" w14:textId="77777777" w:rsidR="003203DE" w:rsidRPr="00C807C0" w:rsidRDefault="003203DE" w:rsidP="00695E76">
      <w:pPr>
        <w:jc w:val="both"/>
        <w:rPr>
          <w:b/>
          <w:bCs/>
        </w:rPr>
      </w:pPr>
      <w:r w:rsidRPr="00C807C0">
        <w:rPr>
          <w:b/>
          <w:bCs/>
        </w:rPr>
        <w:t xml:space="preserve">Proposal 2: RAN2 considers if a similar signalling framework as defined for </w:t>
      </w:r>
      <w:proofErr w:type="spellStart"/>
      <w:r w:rsidRPr="00C807C0">
        <w:rPr>
          <w:b/>
          <w:bCs/>
          <w:i/>
          <w:iCs/>
        </w:rPr>
        <w:t>CoverageAreaInfo</w:t>
      </w:r>
      <w:proofErr w:type="spellEnd"/>
      <w:r w:rsidRPr="00C807C0">
        <w:rPr>
          <w:b/>
          <w:bCs/>
        </w:rPr>
        <w:t xml:space="preserve"> in SIB25 can be used for reflecting the MBS service area. </w:t>
      </w:r>
    </w:p>
    <w:p w14:paraId="2CA091F6" w14:textId="77777777" w:rsidR="003203DE" w:rsidRPr="000F232F" w:rsidRDefault="003203DE" w:rsidP="00695E76">
      <w:pPr>
        <w:jc w:val="both"/>
        <w:rPr>
          <w:b/>
          <w:bCs/>
        </w:rPr>
      </w:pPr>
      <w:r w:rsidRPr="000F232F">
        <w:rPr>
          <w:b/>
          <w:bCs/>
        </w:rPr>
        <w:t xml:space="preserve">Observation 3: MBS service will be provided by certain satellite only during limited period (i.e. when satellite’s footprint overlaps with the </w:t>
      </w:r>
      <w:r>
        <w:rPr>
          <w:b/>
          <w:bCs/>
        </w:rPr>
        <w:t xml:space="preserve">MBS </w:t>
      </w:r>
      <w:r w:rsidRPr="000F232F">
        <w:rPr>
          <w:b/>
          <w:bCs/>
        </w:rPr>
        <w:t>area</w:t>
      </w:r>
      <w:r>
        <w:rPr>
          <w:b/>
          <w:bCs/>
        </w:rPr>
        <w:t>).</w:t>
      </w:r>
      <w:r w:rsidRPr="000F232F">
        <w:rPr>
          <w:b/>
          <w:bCs/>
        </w:rPr>
        <w:t xml:space="preserve"> </w:t>
      </w:r>
    </w:p>
    <w:p w14:paraId="0776857A" w14:textId="77777777" w:rsidR="003203DE" w:rsidRDefault="003203DE" w:rsidP="00695E76">
      <w:pPr>
        <w:jc w:val="both"/>
      </w:pPr>
      <w:r w:rsidRPr="00F97784">
        <w:rPr>
          <w:b/>
          <w:bCs/>
        </w:rPr>
        <w:t>Observation 4: MBS service area</w:t>
      </w:r>
      <w:r>
        <w:rPr>
          <w:b/>
          <w:bCs/>
        </w:rPr>
        <w:t xml:space="preserve"> provided by NTN</w:t>
      </w:r>
      <w:r w:rsidRPr="00F97784">
        <w:rPr>
          <w:b/>
          <w:bCs/>
        </w:rPr>
        <w:t xml:space="preserve"> will be covered by cells whose identifiers change over time. </w:t>
      </w:r>
    </w:p>
    <w:p w14:paraId="150D4A00" w14:textId="77777777" w:rsidR="003203DE" w:rsidRPr="003203DE" w:rsidRDefault="003203DE" w:rsidP="00695E76">
      <w:pPr>
        <w:jc w:val="both"/>
        <w:rPr>
          <w:b/>
          <w:bCs/>
        </w:rPr>
      </w:pPr>
      <w:r w:rsidRPr="003203DE">
        <w:rPr>
          <w:b/>
          <w:bCs/>
        </w:rPr>
        <w:t xml:space="preserve">Observation 5: </w:t>
      </w:r>
      <w:r>
        <w:rPr>
          <w:b/>
          <w:bCs/>
        </w:rPr>
        <w:t xml:space="preserve">In legacy MBS design AMF selects </w:t>
      </w:r>
      <w:proofErr w:type="spellStart"/>
      <w:r>
        <w:rPr>
          <w:b/>
          <w:bCs/>
        </w:rPr>
        <w:t>gNBs</w:t>
      </w:r>
      <w:proofErr w:type="spellEnd"/>
      <w:r>
        <w:rPr>
          <w:b/>
          <w:bCs/>
        </w:rPr>
        <w:t xml:space="preserve"> that are located in the service area corresponding to MBS session.</w:t>
      </w:r>
    </w:p>
    <w:p w14:paraId="2776CF64" w14:textId="77777777" w:rsidR="003203DE" w:rsidRPr="00451A30" w:rsidRDefault="003203DE" w:rsidP="00695E76">
      <w:pPr>
        <w:jc w:val="both"/>
      </w:pPr>
      <w:r w:rsidRPr="003203DE">
        <w:rPr>
          <w:b/>
          <w:bCs/>
        </w:rPr>
        <w:t xml:space="preserve">Proposal </w:t>
      </w:r>
      <w:r>
        <w:rPr>
          <w:b/>
          <w:bCs/>
        </w:rPr>
        <w:t>3</w:t>
      </w:r>
      <w:r w:rsidRPr="003203DE">
        <w:rPr>
          <w:b/>
          <w:bCs/>
        </w:rPr>
        <w:t xml:space="preserve">: </w:t>
      </w:r>
      <w:r>
        <w:rPr>
          <w:b/>
          <w:bCs/>
        </w:rPr>
        <w:t xml:space="preserve">If RAN2 supports MBS via EMC in NTN, RAN2 sends the LS to RAN3 asking this WG to define corresponding NW signalling. </w:t>
      </w:r>
    </w:p>
    <w:p w14:paraId="47F1F42E" w14:textId="77777777" w:rsidR="003203DE" w:rsidRPr="00A27B3C" w:rsidRDefault="003203DE" w:rsidP="00695E76">
      <w:pPr>
        <w:jc w:val="both"/>
        <w:rPr>
          <w:b/>
          <w:bCs/>
        </w:rPr>
      </w:pPr>
      <w:r w:rsidRPr="00A27B3C">
        <w:rPr>
          <w:b/>
          <w:bCs/>
        </w:rPr>
        <w:t xml:space="preserve">Observation </w:t>
      </w:r>
      <w:r>
        <w:rPr>
          <w:b/>
          <w:bCs/>
        </w:rPr>
        <w:t>6</w:t>
      </w:r>
      <w:r w:rsidRPr="00A27B3C">
        <w:rPr>
          <w:b/>
          <w:bCs/>
        </w:rPr>
        <w:t>: MCCH provides the list of MBS broadcast sessions, scheduling information and the list of neighbours with the same MBS services.</w:t>
      </w:r>
    </w:p>
    <w:p w14:paraId="35F222F4" w14:textId="0CF23A06" w:rsidR="00080512" w:rsidRPr="003203DE" w:rsidRDefault="003203DE" w:rsidP="00695E76">
      <w:pPr>
        <w:jc w:val="both"/>
        <w:rPr>
          <w:b/>
          <w:bCs/>
        </w:rPr>
      </w:pPr>
      <w:r w:rsidRPr="003203DE">
        <w:rPr>
          <w:b/>
          <w:bCs/>
        </w:rPr>
        <w:t xml:space="preserve">Proposal 4: RAN2 discusses how/whether to split the MBS related information (such as list of MBS sessions, scheduling information, etc.) between SIB </w:t>
      </w:r>
      <w:r>
        <w:rPr>
          <w:b/>
          <w:bCs/>
        </w:rPr>
        <w:t>and</w:t>
      </w:r>
      <w:r w:rsidRPr="003203DE">
        <w:rPr>
          <w:b/>
          <w:bCs/>
        </w:rPr>
        <w:t xml:space="preserve"> MCCH.</w:t>
      </w:r>
    </w:p>
    <w:p w14:paraId="436A6044" w14:textId="49C79723" w:rsidR="002277FE" w:rsidRPr="00451A30" w:rsidRDefault="002277FE">
      <w:pPr>
        <w:pStyle w:val="Heading1"/>
      </w:pPr>
      <w:r w:rsidRPr="00451A30">
        <w:t>References</w:t>
      </w:r>
    </w:p>
    <w:p w14:paraId="10924A7A" w14:textId="7E2A4BD0" w:rsidR="002277FE" w:rsidRDefault="002277FE" w:rsidP="00C5682E">
      <w:pPr>
        <w:pStyle w:val="ListParagraph"/>
        <w:numPr>
          <w:ilvl w:val="0"/>
          <w:numId w:val="18"/>
        </w:numPr>
      </w:pPr>
      <w:bookmarkStart w:id="0" w:name="_Ref161771711"/>
      <w:r w:rsidRPr="00451A30">
        <w:t>RP-2</w:t>
      </w:r>
      <w:r w:rsidR="002B5316">
        <w:t>40775</w:t>
      </w:r>
      <w:r w:rsidRPr="00451A30">
        <w:t xml:space="preserve"> </w:t>
      </w:r>
      <w:r w:rsidR="002B5316" w:rsidRPr="002B5316">
        <w:rPr>
          <w:i/>
          <w:iCs/>
        </w:rPr>
        <w:t>Revised WID: Non-Terrestrial Networks (NTN) for NR Phase 3</w:t>
      </w:r>
      <w:r w:rsidR="00C5682E">
        <w:t xml:space="preserve"> 3GPP TSG RAN Meeting #103 Maastricht, The Netherlands, March 18-22, 2024</w:t>
      </w:r>
      <w:bookmarkEnd w:id="0"/>
    </w:p>
    <w:p w14:paraId="5E58158C" w14:textId="2F68CF6D" w:rsidR="00051454" w:rsidRPr="00451A30" w:rsidRDefault="00051454" w:rsidP="002277FE">
      <w:pPr>
        <w:pStyle w:val="ListParagraph"/>
        <w:numPr>
          <w:ilvl w:val="0"/>
          <w:numId w:val="18"/>
        </w:numPr>
      </w:pPr>
      <w:r>
        <w:t>3GPP TS 38.331 NR RRC</w:t>
      </w:r>
      <w:r w:rsidR="00AC2ABC">
        <w:t>, v18.1.0, March 2024.</w:t>
      </w:r>
    </w:p>
    <w:sectPr w:rsidR="00051454" w:rsidRPr="00451A30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1E0E7B" w14:textId="77777777" w:rsidR="006D0AA0" w:rsidRDefault="006D0AA0">
      <w:r>
        <w:separator/>
      </w:r>
    </w:p>
  </w:endnote>
  <w:endnote w:type="continuationSeparator" w:id="0">
    <w:p w14:paraId="3798A6CB" w14:textId="77777777" w:rsidR="006D0AA0" w:rsidRDefault="006D0AA0">
      <w:r>
        <w:continuationSeparator/>
      </w:r>
    </w:p>
  </w:endnote>
  <w:endnote w:type="continuationNotice" w:id="1">
    <w:p w14:paraId="15E13CF0" w14:textId="77777777" w:rsidR="006D0AA0" w:rsidRDefault="006D0AA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ËÎÌå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‚l‚r –¾’©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‚l‚r ƒSƒVƒbƒN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8682B0" w14:textId="77777777" w:rsidR="00F87048" w:rsidRDefault="00F8704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7CD8BF" w14:textId="77777777" w:rsidR="00F87048" w:rsidRDefault="00F8704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B6C35B" w14:textId="77777777" w:rsidR="00F87048" w:rsidRDefault="00F8704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9A32D1" w14:textId="77777777" w:rsidR="006D0AA0" w:rsidRDefault="006D0AA0">
      <w:r>
        <w:separator/>
      </w:r>
    </w:p>
  </w:footnote>
  <w:footnote w:type="continuationSeparator" w:id="0">
    <w:p w14:paraId="30177770" w14:textId="77777777" w:rsidR="006D0AA0" w:rsidRDefault="006D0AA0">
      <w:r>
        <w:continuationSeparator/>
      </w:r>
    </w:p>
  </w:footnote>
  <w:footnote w:type="continuationNotice" w:id="1">
    <w:p w14:paraId="36F68FB6" w14:textId="77777777" w:rsidR="006D0AA0" w:rsidRDefault="006D0AA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CDC357" w14:textId="77777777" w:rsidR="00F87048" w:rsidRDefault="00F8704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75F868" w14:textId="77777777" w:rsidR="00F87048" w:rsidRDefault="00F8704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B10EB5" w14:textId="77777777" w:rsidR="00F87048" w:rsidRDefault="00F8704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67A449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454E47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CAC057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6427F94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EA22C8C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4B0DDEE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790718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80851B2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A84ABDA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6004BD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2F0E75E3"/>
    <w:multiLevelType w:val="hybridMultilevel"/>
    <w:tmpl w:val="AA00649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6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778211AF"/>
    <w:multiLevelType w:val="hybridMultilevel"/>
    <w:tmpl w:val="232E1978"/>
    <w:lvl w:ilvl="0" w:tplc="45A2A4E8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7E30194"/>
    <w:multiLevelType w:val="hybridMultilevel"/>
    <w:tmpl w:val="753E267E"/>
    <w:lvl w:ilvl="0" w:tplc="CE6CB68A">
      <w:start w:val="3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84AC64D6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90B60DE2">
      <w:start w:val="5"/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29741760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62758893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489253310">
    <w:abstractNumId w:val="11"/>
  </w:num>
  <w:num w:numId="4" w16cid:durableId="199124208">
    <w:abstractNumId w:val="14"/>
  </w:num>
  <w:num w:numId="5" w16cid:durableId="630793192">
    <w:abstractNumId w:val="13"/>
  </w:num>
  <w:num w:numId="6" w16cid:durableId="1154301696">
    <w:abstractNumId w:val="15"/>
  </w:num>
  <w:num w:numId="7" w16cid:durableId="1489399165">
    <w:abstractNumId w:val="16"/>
  </w:num>
  <w:num w:numId="8" w16cid:durableId="1495876256">
    <w:abstractNumId w:val="9"/>
  </w:num>
  <w:num w:numId="9" w16cid:durableId="441074845">
    <w:abstractNumId w:val="7"/>
  </w:num>
  <w:num w:numId="10" w16cid:durableId="431705991">
    <w:abstractNumId w:val="6"/>
  </w:num>
  <w:num w:numId="11" w16cid:durableId="1559823138">
    <w:abstractNumId w:val="5"/>
  </w:num>
  <w:num w:numId="12" w16cid:durableId="1777091386">
    <w:abstractNumId w:val="4"/>
  </w:num>
  <w:num w:numId="13" w16cid:durableId="754859990">
    <w:abstractNumId w:val="8"/>
  </w:num>
  <w:num w:numId="14" w16cid:durableId="685982631">
    <w:abstractNumId w:val="3"/>
  </w:num>
  <w:num w:numId="15" w16cid:durableId="1806268356">
    <w:abstractNumId w:val="2"/>
  </w:num>
  <w:num w:numId="16" w16cid:durableId="1176116058">
    <w:abstractNumId w:val="1"/>
  </w:num>
  <w:num w:numId="17" w16cid:durableId="655106882">
    <w:abstractNumId w:val="0"/>
  </w:num>
  <w:num w:numId="18" w16cid:durableId="1100298529">
    <w:abstractNumId w:val="17"/>
  </w:num>
  <w:num w:numId="19" w16cid:durableId="1969775248">
    <w:abstractNumId w:val="18"/>
  </w:num>
  <w:num w:numId="20" w16cid:durableId="171770145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2DEF"/>
    <w:rsid w:val="00006C10"/>
    <w:rsid w:val="00012E04"/>
    <w:rsid w:val="00016557"/>
    <w:rsid w:val="00023C40"/>
    <w:rsid w:val="0002507D"/>
    <w:rsid w:val="00033397"/>
    <w:rsid w:val="00040095"/>
    <w:rsid w:val="00051454"/>
    <w:rsid w:val="00065268"/>
    <w:rsid w:val="00073C9C"/>
    <w:rsid w:val="00076412"/>
    <w:rsid w:val="00080512"/>
    <w:rsid w:val="00081635"/>
    <w:rsid w:val="000843F3"/>
    <w:rsid w:val="00090468"/>
    <w:rsid w:val="00094568"/>
    <w:rsid w:val="000B7BCF"/>
    <w:rsid w:val="000C474A"/>
    <w:rsid w:val="000C522B"/>
    <w:rsid w:val="000D58AB"/>
    <w:rsid w:val="000F161A"/>
    <w:rsid w:val="000F232F"/>
    <w:rsid w:val="00111A74"/>
    <w:rsid w:val="00112332"/>
    <w:rsid w:val="00112F1A"/>
    <w:rsid w:val="0012610D"/>
    <w:rsid w:val="00126ADE"/>
    <w:rsid w:val="001317AA"/>
    <w:rsid w:val="0013339E"/>
    <w:rsid w:val="00145075"/>
    <w:rsid w:val="0016543D"/>
    <w:rsid w:val="00171362"/>
    <w:rsid w:val="001741A0"/>
    <w:rsid w:val="00175FA0"/>
    <w:rsid w:val="0018281B"/>
    <w:rsid w:val="0018542A"/>
    <w:rsid w:val="001900CE"/>
    <w:rsid w:val="00194CD0"/>
    <w:rsid w:val="001A18AB"/>
    <w:rsid w:val="001B49C9"/>
    <w:rsid w:val="001C01F5"/>
    <w:rsid w:val="001C23F4"/>
    <w:rsid w:val="001C4F79"/>
    <w:rsid w:val="001E08CF"/>
    <w:rsid w:val="001E5A2B"/>
    <w:rsid w:val="001F157C"/>
    <w:rsid w:val="001F168B"/>
    <w:rsid w:val="001F7831"/>
    <w:rsid w:val="002039DD"/>
    <w:rsid w:val="00204045"/>
    <w:rsid w:val="0020712B"/>
    <w:rsid w:val="0022606D"/>
    <w:rsid w:val="002277FE"/>
    <w:rsid w:val="00231728"/>
    <w:rsid w:val="002366CE"/>
    <w:rsid w:val="00244A05"/>
    <w:rsid w:val="00250404"/>
    <w:rsid w:val="00256B74"/>
    <w:rsid w:val="002610D8"/>
    <w:rsid w:val="002747EC"/>
    <w:rsid w:val="002855BF"/>
    <w:rsid w:val="002875FA"/>
    <w:rsid w:val="00290A7C"/>
    <w:rsid w:val="00291B40"/>
    <w:rsid w:val="00292560"/>
    <w:rsid w:val="002B2988"/>
    <w:rsid w:val="002B5316"/>
    <w:rsid w:val="002D01D5"/>
    <w:rsid w:val="002E7E26"/>
    <w:rsid w:val="002F0D22"/>
    <w:rsid w:val="002F11DC"/>
    <w:rsid w:val="00311B17"/>
    <w:rsid w:val="003172DC"/>
    <w:rsid w:val="003203DE"/>
    <w:rsid w:val="0032168B"/>
    <w:rsid w:val="00325AE3"/>
    <w:rsid w:val="00326069"/>
    <w:rsid w:val="0035462D"/>
    <w:rsid w:val="0036459E"/>
    <w:rsid w:val="00364B41"/>
    <w:rsid w:val="00373F9F"/>
    <w:rsid w:val="00383096"/>
    <w:rsid w:val="0039346C"/>
    <w:rsid w:val="003A41EF"/>
    <w:rsid w:val="003B40AD"/>
    <w:rsid w:val="003C4E37"/>
    <w:rsid w:val="003D0FD0"/>
    <w:rsid w:val="003E16BE"/>
    <w:rsid w:val="003F4E28"/>
    <w:rsid w:val="003F60BE"/>
    <w:rsid w:val="003F76B6"/>
    <w:rsid w:val="004006E8"/>
    <w:rsid w:val="00401855"/>
    <w:rsid w:val="0041531C"/>
    <w:rsid w:val="004426C7"/>
    <w:rsid w:val="00446C3A"/>
    <w:rsid w:val="00451A30"/>
    <w:rsid w:val="00465587"/>
    <w:rsid w:val="00466B03"/>
    <w:rsid w:val="00477455"/>
    <w:rsid w:val="004A1F7B"/>
    <w:rsid w:val="004A6860"/>
    <w:rsid w:val="004B1065"/>
    <w:rsid w:val="004B2BC7"/>
    <w:rsid w:val="004C44D2"/>
    <w:rsid w:val="004C6AC7"/>
    <w:rsid w:val="004D3578"/>
    <w:rsid w:val="004D380D"/>
    <w:rsid w:val="004D7916"/>
    <w:rsid w:val="004E0569"/>
    <w:rsid w:val="004E213A"/>
    <w:rsid w:val="004E7553"/>
    <w:rsid w:val="004F4540"/>
    <w:rsid w:val="004F52D8"/>
    <w:rsid w:val="004F73A7"/>
    <w:rsid w:val="00503171"/>
    <w:rsid w:val="00506C28"/>
    <w:rsid w:val="00510CFC"/>
    <w:rsid w:val="00512B36"/>
    <w:rsid w:val="00522FE2"/>
    <w:rsid w:val="00525552"/>
    <w:rsid w:val="00534DA0"/>
    <w:rsid w:val="00537809"/>
    <w:rsid w:val="005432D9"/>
    <w:rsid w:val="00543E6C"/>
    <w:rsid w:val="005563FF"/>
    <w:rsid w:val="00565087"/>
    <w:rsid w:val="0056573F"/>
    <w:rsid w:val="00570A85"/>
    <w:rsid w:val="00571279"/>
    <w:rsid w:val="00571969"/>
    <w:rsid w:val="00575FC5"/>
    <w:rsid w:val="00586BC0"/>
    <w:rsid w:val="005A12C1"/>
    <w:rsid w:val="005A13AB"/>
    <w:rsid w:val="005A49C6"/>
    <w:rsid w:val="005A5092"/>
    <w:rsid w:val="005B701E"/>
    <w:rsid w:val="005B7413"/>
    <w:rsid w:val="005C766E"/>
    <w:rsid w:val="005C7CD5"/>
    <w:rsid w:val="005D5129"/>
    <w:rsid w:val="005F4A70"/>
    <w:rsid w:val="00611566"/>
    <w:rsid w:val="00630627"/>
    <w:rsid w:val="006316F8"/>
    <w:rsid w:val="0063446C"/>
    <w:rsid w:val="006344FA"/>
    <w:rsid w:val="00646D99"/>
    <w:rsid w:val="00656910"/>
    <w:rsid w:val="006574C0"/>
    <w:rsid w:val="0067183C"/>
    <w:rsid w:val="00677518"/>
    <w:rsid w:val="0069037C"/>
    <w:rsid w:val="00695E76"/>
    <w:rsid w:val="00696821"/>
    <w:rsid w:val="006B288F"/>
    <w:rsid w:val="006C66D8"/>
    <w:rsid w:val="006D0AA0"/>
    <w:rsid w:val="006D1E24"/>
    <w:rsid w:val="006D35DE"/>
    <w:rsid w:val="006E1057"/>
    <w:rsid w:val="006E1417"/>
    <w:rsid w:val="006E2242"/>
    <w:rsid w:val="006F6680"/>
    <w:rsid w:val="006F6A2C"/>
    <w:rsid w:val="007069DC"/>
    <w:rsid w:val="00710201"/>
    <w:rsid w:val="0071550E"/>
    <w:rsid w:val="0072073A"/>
    <w:rsid w:val="00723B23"/>
    <w:rsid w:val="007342B5"/>
    <w:rsid w:val="00734A5B"/>
    <w:rsid w:val="00743EA1"/>
    <w:rsid w:val="00744E76"/>
    <w:rsid w:val="00757D40"/>
    <w:rsid w:val="00764142"/>
    <w:rsid w:val="007662B5"/>
    <w:rsid w:val="00772B1C"/>
    <w:rsid w:val="00781F0F"/>
    <w:rsid w:val="00781FFC"/>
    <w:rsid w:val="0078727C"/>
    <w:rsid w:val="0079049D"/>
    <w:rsid w:val="00793DC5"/>
    <w:rsid w:val="00796823"/>
    <w:rsid w:val="007A2E55"/>
    <w:rsid w:val="007A6E31"/>
    <w:rsid w:val="007B18D8"/>
    <w:rsid w:val="007B2AC2"/>
    <w:rsid w:val="007B3315"/>
    <w:rsid w:val="007C095F"/>
    <w:rsid w:val="007C2DD0"/>
    <w:rsid w:val="007D7AC3"/>
    <w:rsid w:val="007F2E08"/>
    <w:rsid w:val="007F61FE"/>
    <w:rsid w:val="007F76BF"/>
    <w:rsid w:val="008024FA"/>
    <w:rsid w:val="008028A4"/>
    <w:rsid w:val="008046CE"/>
    <w:rsid w:val="00805467"/>
    <w:rsid w:val="00813245"/>
    <w:rsid w:val="00840DE0"/>
    <w:rsid w:val="00843001"/>
    <w:rsid w:val="00844E88"/>
    <w:rsid w:val="00847CD0"/>
    <w:rsid w:val="0085279F"/>
    <w:rsid w:val="008607A8"/>
    <w:rsid w:val="0086354A"/>
    <w:rsid w:val="008768CA"/>
    <w:rsid w:val="00877EF9"/>
    <w:rsid w:val="00880559"/>
    <w:rsid w:val="008850E6"/>
    <w:rsid w:val="00892F49"/>
    <w:rsid w:val="008B3A8F"/>
    <w:rsid w:val="008B5306"/>
    <w:rsid w:val="008B54E8"/>
    <w:rsid w:val="008B5D82"/>
    <w:rsid w:val="008C2E2A"/>
    <w:rsid w:val="008C3057"/>
    <w:rsid w:val="008D2E4D"/>
    <w:rsid w:val="008F2936"/>
    <w:rsid w:val="008F396F"/>
    <w:rsid w:val="008F3DCD"/>
    <w:rsid w:val="0090271F"/>
    <w:rsid w:val="00902DB9"/>
    <w:rsid w:val="0090466A"/>
    <w:rsid w:val="00905E5A"/>
    <w:rsid w:val="00923655"/>
    <w:rsid w:val="009248C6"/>
    <w:rsid w:val="0092614F"/>
    <w:rsid w:val="009339CB"/>
    <w:rsid w:val="00933BAF"/>
    <w:rsid w:val="00936071"/>
    <w:rsid w:val="009376CD"/>
    <w:rsid w:val="00940212"/>
    <w:rsid w:val="00942EC2"/>
    <w:rsid w:val="00961B32"/>
    <w:rsid w:val="00962509"/>
    <w:rsid w:val="00970DB3"/>
    <w:rsid w:val="00974BB0"/>
    <w:rsid w:val="00975BA8"/>
    <w:rsid w:val="00975BCD"/>
    <w:rsid w:val="00975C85"/>
    <w:rsid w:val="009818A2"/>
    <w:rsid w:val="00982119"/>
    <w:rsid w:val="009928A9"/>
    <w:rsid w:val="009A0AF3"/>
    <w:rsid w:val="009B07CD"/>
    <w:rsid w:val="009C19E9"/>
    <w:rsid w:val="009D74A6"/>
    <w:rsid w:val="009E0E87"/>
    <w:rsid w:val="00A00277"/>
    <w:rsid w:val="00A10F02"/>
    <w:rsid w:val="00A17176"/>
    <w:rsid w:val="00A204CA"/>
    <w:rsid w:val="00A209D6"/>
    <w:rsid w:val="00A22738"/>
    <w:rsid w:val="00A27B3C"/>
    <w:rsid w:val="00A36F5F"/>
    <w:rsid w:val="00A430EC"/>
    <w:rsid w:val="00A53724"/>
    <w:rsid w:val="00A53E3F"/>
    <w:rsid w:val="00A54B2B"/>
    <w:rsid w:val="00A703B6"/>
    <w:rsid w:val="00A74676"/>
    <w:rsid w:val="00A81E64"/>
    <w:rsid w:val="00A82346"/>
    <w:rsid w:val="00A9671C"/>
    <w:rsid w:val="00AA1553"/>
    <w:rsid w:val="00AC2ABC"/>
    <w:rsid w:val="00AC3835"/>
    <w:rsid w:val="00AC7D7B"/>
    <w:rsid w:val="00AD0404"/>
    <w:rsid w:val="00AD7E7C"/>
    <w:rsid w:val="00AE5917"/>
    <w:rsid w:val="00B002D6"/>
    <w:rsid w:val="00B05380"/>
    <w:rsid w:val="00B056DB"/>
    <w:rsid w:val="00B05962"/>
    <w:rsid w:val="00B12D15"/>
    <w:rsid w:val="00B15449"/>
    <w:rsid w:val="00B16C2F"/>
    <w:rsid w:val="00B27303"/>
    <w:rsid w:val="00B27BA6"/>
    <w:rsid w:val="00B37DF0"/>
    <w:rsid w:val="00B436FE"/>
    <w:rsid w:val="00B474FC"/>
    <w:rsid w:val="00B47541"/>
    <w:rsid w:val="00B47FD1"/>
    <w:rsid w:val="00B516BB"/>
    <w:rsid w:val="00B52735"/>
    <w:rsid w:val="00B55EC0"/>
    <w:rsid w:val="00B5751D"/>
    <w:rsid w:val="00B64F8D"/>
    <w:rsid w:val="00B669E9"/>
    <w:rsid w:val="00B7538C"/>
    <w:rsid w:val="00B81A81"/>
    <w:rsid w:val="00B83D1A"/>
    <w:rsid w:val="00B84DB2"/>
    <w:rsid w:val="00B95459"/>
    <w:rsid w:val="00B95D42"/>
    <w:rsid w:val="00BB53C1"/>
    <w:rsid w:val="00BB5792"/>
    <w:rsid w:val="00BC3555"/>
    <w:rsid w:val="00C11333"/>
    <w:rsid w:val="00C12B51"/>
    <w:rsid w:val="00C24650"/>
    <w:rsid w:val="00C250C5"/>
    <w:rsid w:val="00C25465"/>
    <w:rsid w:val="00C31806"/>
    <w:rsid w:val="00C33079"/>
    <w:rsid w:val="00C34A15"/>
    <w:rsid w:val="00C36A5C"/>
    <w:rsid w:val="00C53BEB"/>
    <w:rsid w:val="00C55A12"/>
    <w:rsid w:val="00C5682E"/>
    <w:rsid w:val="00C6553E"/>
    <w:rsid w:val="00C807C0"/>
    <w:rsid w:val="00C80D5D"/>
    <w:rsid w:val="00C83A13"/>
    <w:rsid w:val="00C86F10"/>
    <w:rsid w:val="00C9068C"/>
    <w:rsid w:val="00C92967"/>
    <w:rsid w:val="00CA0190"/>
    <w:rsid w:val="00CA3D0C"/>
    <w:rsid w:val="00CA654B"/>
    <w:rsid w:val="00CB72B8"/>
    <w:rsid w:val="00CC196B"/>
    <w:rsid w:val="00CC7798"/>
    <w:rsid w:val="00CD0BA8"/>
    <w:rsid w:val="00CD4C7B"/>
    <w:rsid w:val="00CD58FE"/>
    <w:rsid w:val="00CD623B"/>
    <w:rsid w:val="00CF4F19"/>
    <w:rsid w:val="00D008B2"/>
    <w:rsid w:val="00D33BE3"/>
    <w:rsid w:val="00D3792D"/>
    <w:rsid w:val="00D510FC"/>
    <w:rsid w:val="00D54820"/>
    <w:rsid w:val="00D55E47"/>
    <w:rsid w:val="00D62E19"/>
    <w:rsid w:val="00D67CD1"/>
    <w:rsid w:val="00D71B0D"/>
    <w:rsid w:val="00D738D6"/>
    <w:rsid w:val="00D776FC"/>
    <w:rsid w:val="00D80795"/>
    <w:rsid w:val="00D854BE"/>
    <w:rsid w:val="00D87E00"/>
    <w:rsid w:val="00D9134D"/>
    <w:rsid w:val="00D96D11"/>
    <w:rsid w:val="00DA7A03"/>
    <w:rsid w:val="00DB0DB8"/>
    <w:rsid w:val="00DB1818"/>
    <w:rsid w:val="00DC1087"/>
    <w:rsid w:val="00DC309B"/>
    <w:rsid w:val="00DC4DA2"/>
    <w:rsid w:val="00DC51CF"/>
    <w:rsid w:val="00DC5261"/>
    <w:rsid w:val="00DE25D2"/>
    <w:rsid w:val="00DE48AF"/>
    <w:rsid w:val="00DF7C20"/>
    <w:rsid w:val="00E038FB"/>
    <w:rsid w:val="00E24CA0"/>
    <w:rsid w:val="00E3156B"/>
    <w:rsid w:val="00E329BF"/>
    <w:rsid w:val="00E40E96"/>
    <w:rsid w:val="00E45194"/>
    <w:rsid w:val="00E46C08"/>
    <w:rsid w:val="00E471CF"/>
    <w:rsid w:val="00E55731"/>
    <w:rsid w:val="00E62835"/>
    <w:rsid w:val="00E6480E"/>
    <w:rsid w:val="00E77645"/>
    <w:rsid w:val="00E8117A"/>
    <w:rsid w:val="00E83697"/>
    <w:rsid w:val="00E859B6"/>
    <w:rsid w:val="00E94904"/>
    <w:rsid w:val="00E96C9B"/>
    <w:rsid w:val="00EA66C9"/>
    <w:rsid w:val="00EB5D32"/>
    <w:rsid w:val="00EC4A25"/>
    <w:rsid w:val="00ED7E59"/>
    <w:rsid w:val="00EF3236"/>
    <w:rsid w:val="00EF612C"/>
    <w:rsid w:val="00F025A2"/>
    <w:rsid w:val="00F036E9"/>
    <w:rsid w:val="00F05560"/>
    <w:rsid w:val="00F07388"/>
    <w:rsid w:val="00F10BD2"/>
    <w:rsid w:val="00F11615"/>
    <w:rsid w:val="00F166FA"/>
    <w:rsid w:val="00F2026E"/>
    <w:rsid w:val="00F2210A"/>
    <w:rsid w:val="00F31372"/>
    <w:rsid w:val="00F37743"/>
    <w:rsid w:val="00F40C2F"/>
    <w:rsid w:val="00F42493"/>
    <w:rsid w:val="00F54A3D"/>
    <w:rsid w:val="00F54CB0"/>
    <w:rsid w:val="00F579CD"/>
    <w:rsid w:val="00F653B8"/>
    <w:rsid w:val="00F71B89"/>
    <w:rsid w:val="00F7353C"/>
    <w:rsid w:val="00F76F8F"/>
    <w:rsid w:val="00F87048"/>
    <w:rsid w:val="00F87257"/>
    <w:rsid w:val="00F941DF"/>
    <w:rsid w:val="00F97784"/>
    <w:rsid w:val="00FA1266"/>
    <w:rsid w:val="00FB36FA"/>
    <w:rsid w:val="00FC1192"/>
    <w:rsid w:val="00FE106D"/>
    <w:rsid w:val="00FE251B"/>
    <w:rsid w:val="00FF3368"/>
    <w:rsid w:val="00FF41FF"/>
    <w:rsid w:val="00FF6146"/>
    <w:rsid w:val="24450D30"/>
    <w:rsid w:val="3AA67D8F"/>
    <w:rsid w:val="3BA3CE77"/>
    <w:rsid w:val="3C333E28"/>
    <w:rsid w:val="40F63D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9744DE5"/>
  <w15:chartTrackingRefBased/>
  <w15:docId w15:val="{EE165403-ACE1-4A0E-B589-7115BF8031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styleId="UnresolvedMention">
    <w:name w:val="Unresolved Mention"/>
    <w:basedOn w:val="DefaultParagraphFont"/>
    <w:rsid w:val="00DE25D2"/>
    <w:rPr>
      <w:color w:val="605E5C"/>
      <w:shd w:val="clear" w:color="auto" w:fill="E1DFDD"/>
    </w:rPr>
  </w:style>
  <w:style w:type="paragraph" w:styleId="Bibliography">
    <w:name w:val="Bibliography"/>
    <w:basedOn w:val="Normal"/>
    <w:next w:val="Normal"/>
    <w:uiPriority w:val="37"/>
    <w:semiHidden/>
    <w:unhideWhenUsed/>
    <w:rsid w:val="003F76B6"/>
  </w:style>
  <w:style w:type="paragraph" w:styleId="BlockText">
    <w:name w:val="Block Text"/>
    <w:basedOn w:val="Normal"/>
    <w:rsid w:val="003F76B6"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5B9BD5" w:themeColor="accent1"/>
    </w:rPr>
  </w:style>
  <w:style w:type="paragraph" w:styleId="BodyText">
    <w:name w:val="Body Text"/>
    <w:basedOn w:val="Normal"/>
    <w:link w:val="BodyTextChar"/>
    <w:rsid w:val="003F76B6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3F76B6"/>
    <w:rPr>
      <w:lang w:eastAsia="en-US"/>
    </w:rPr>
  </w:style>
  <w:style w:type="paragraph" w:styleId="BodyText2">
    <w:name w:val="Body Text 2"/>
    <w:basedOn w:val="Normal"/>
    <w:link w:val="BodyText2Char"/>
    <w:rsid w:val="003F76B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3F76B6"/>
    <w:rPr>
      <w:lang w:eastAsia="en-US"/>
    </w:rPr>
  </w:style>
  <w:style w:type="paragraph" w:styleId="BodyText3">
    <w:name w:val="Body Text 3"/>
    <w:basedOn w:val="Normal"/>
    <w:link w:val="BodyText3Char"/>
    <w:rsid w:val="003F76B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F76B6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3F76B6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3F76B6"/>
    <w:rPr>
      <w:lang w:eastAsia="en-US"/>
    </w:rPr>
  </w:style>
  <w:style w:type="paragraph" w:styleId="BodyTextIndent">
    <w:name w:val="Body Text Indent"/>
    <w:basedOn w:val="Normal"/>
    <w:link w:val="BodyTextIndentChar"/>
    <w:rsid w:val="003F76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3F76B6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3F76B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3F76B6"/>
    <w:rPr>
      <w:lang w:eastAsia="en-US"/>
    </w:rPr>
  </w:style>
  <w:style w:type="paragraph" w:styleId="BodyTextIndent2">
    <w:name w:val="Body Text Indent 2"/>
    <w:basedOn w:val="Normal"/>
    <w:link w:val="BodyTextIndent2Char"/>
    <w:rsid w:val="003F76B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3F76B6"/>
    <w:rPr>
      <w:lang w:eastAsia="en-US"/>
    </w:rPr>
  </w:style>
  <w:style w:type="paragraph" w:styleId="BodyTextIndent3">
    <w:name w:val="Body Text Indent 3"/>
    <w:basedOn w:val="Normal"/>
    <w:link w:val="BodyTextIndent3Char"/>
    <w:rsid w:val="003F76B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3F76B6"/>
    <w:rPr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3F76B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3F76B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3F76B6"/>
    <w:rPr>
      <w:lang w:eastAsia="en-US"/>
    </w:rPr>
  </w:style>
  <w:style w:type="paragraph" w:styleId="CommentText">
    <w:name w:val="annotation text"/>
    <w:basedOn w:val="Normal"/>
    <w:link w:val="CommentTextChar"/>
    <w:rsid w:val="003F76B6"/>
  </w:style>
  <w:style w:type="character" w:customStyle="1" w:styleId="CommentTextChar">
    <w:name w:val="Comment Text Char"/>
    <w:basedOn w:val="DefaultParagraphFont"/>
    <w:link w:val="CommentText"/>
    <w:rsid w:val="003F76B6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3F76B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F76B6"/>
    <w:rPr>
      <w:b/>
      <w:bCs/>
      <w:lang w:eastAsia="en-US"/>
    </w:rPr>
  </w:style>
  <w:style w:type="paragraph" w:styleId="Date">
    <w:name w:val="Date"/>
    <w:basedOn w:val="Normal"/>
    <w:next w:val="Normal"/>
    <w:link w:val="DateChar"/>
    <w:rsid w:val="003F76B6"/>
  </w:style>
  <w:style w:type="character" w:customStyle="1" w:styleId="DateChar">
    <w:name w:val="Date Char"/>
    <w:basedOn w:val="DefaultParagraphFont"/>
    <w:link w:val="Date"/>
    <w:rsid w:val="003F76B6"/>
    <w:rPr>
      <w:lang w:eastAsia="en-US"/>
    </w:rPr>
  </w:style>
  <w:style w:type="paragraph" w:styleId="E-mailSignature">
    <w:name w:val="E-mail Signature"/>
    <w:basedOn w:val="Normal"/>
    <w:link w:val="E-mailSignatureChar"/>
    <w:rsid w:val="003F76B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3F76B6"/>
    <w:rPr>
      <w:lang w:eastAsia="en-US"/>
    </w:rPr>
  </w:style>
  <w:style w:type="paragraph" w:styleId="EndnoteText">
    <w:name w:val="endnote text"/>
    <w:basedOn w:val="Normal"/>
    <w:link w:val="EndnoteTextChar"/>
    <w:rsid w:val="003F76B6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3F76B6"/>
    <w:rPr>
      <w:lang w:eastAsia="en-US"/>
    </w:rPr>
  </w:style>
  <w:style w:type="paragraph" w:styleId="EnvelopeAddress">
    <w:name w:val="envelope address"/>
    <w:basedOn w:val="Normal"/>
    <w:rsid w:val="003F76B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3F76B6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3F76B6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3F76B6"/>
    <w:rPr>
      <w:lang w:eastAsia="en-US"/>
    </w:rPr>
  </w:style>
  <w:style w:type="paragraph" w:styleId="HTMLAddress">
    <w:name w:val="HTML Address"/>
    <w:basedOn w:val="Normal"/>
    <w:link w:val="HTMLAddressChar"/>
    <w:rsid w:val="003F76B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3F76B6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3F76B6"/>
    <w:pPr>
      <w:spacing w:after="0"/>
    </w:pPr>
    <w:rPr>
      <w:rFonts w:ascii="Consolas" w:hAnsi="Consolas" w:cs="Consolas"/>
    </w:rPr>
  </w:style>
  <w:style w:type="character" w:customStyle="1" w:styleId="HTMLPreformattedChar">
    <w:name w:val="HTML Preformatted Char"/>
    <w:basedOn w:val="DefaultParagraphFont"/>
    <w:link w:val="HTMLPreformatted"/>
    <w:rsid w:val="003F76B6"/>
    <w:rPr>
      <w:rFonts w:ascii="Consolas" w:hAnsi="Consolas" w:cs="Consolas"/>
      <w:lang w:eastAsia="en-US"/>
    </w:rPr>
  </w:style>
  <w:style w:type="paragraph" w:styleId="Index1">
    <w:name w:val="index 1"/>
    <w:basedOn w:val="Normal"/>
    <w:next w:val="Normal"/>
    <w:rsid w:val="003F76B6"/>
    <w:pPr>
      <w:spacing w:after="0"/>
      <w:ind w:left="200" w:hanging="200"/>
    </w:pPr>
  </w:style>
  <w:style w:type="paragraph" w:styleId="Index2">
    <w:name w:val="index 2"/>
    <w:basedOn w:val="Normal"/>
    <w:next w:val="Normal"/>
    <w:rsid w:val="003F76B6"/>
    <w:pPr>
      <w:spacing w:after="0"/>
      <w:ind w:left="400" w:hanging="200"/>
    </w:pPr>
  </w:style>
  <w:style w:type="paragraph" w:styleId="Index3">
    <w:name w:val="index 3"/>
    <w:basedOn w:val="Normal"/>
    <w:next w:val="Normal"/>
    <w:rsid w:val="003F76B6"/>
    <w:pPr>
      <w:spacing w:after="0"/>
      <w:ind w:left="600" w:hanging="200"/>
    </w:pPr>
  </w:style>
  <w:style w:type="paragraph" w:styleId="Index4">
    <w:name w:val="index 4"/>
    <w:basedOn w:val="Normal"/>
    <w:next w:val="Normal"/>
    <w:rsid w:val="003F76B6"/>
    <w:pPr>
      <w:spacing w:after="0"/>
      <w:ind w:left="800" w:hanging="200"/>
    </w:pPr>
  </w:style>
  <w:style w:type="paragraph" w:styleId="Index5">
    <w:name w:val="index 5"/>
    <w:basedOn w:val="Normal"/>
    <w:next w:val="Normal"/>
    <w:rsid w:val="003F76B6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3F76B6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3F76B6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3F76B6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3F76B6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3F76B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F76B6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F76B6"/>
    <w:rPr>
      <w:i/>
      <w:iCs/>
      <w:color w:val="5B9BD5" w:themeColor="accent1"/>
      <w:lang w:eastAsia="en-US"/>
    </w:rPr>
  </w:style>
  <w:style w:type="paragraph" w:styleId="List">
    <w:name w:val="List"/>
    <w:basedOn w:val="Normal"/>
    <w:rsid w:val="003F76B6"/>
    <w:pPr>
      <w:ind w:left="283" w:hanging="283"/>
      <w:contextualSpacing/>
    </w:pPr>
  </w:style>
  <w:style w:type="paragraph" w:styleId="List2">
    <w:name w:val="List 2"/>
    <w:basedOn w:val="Normal"/>
    <w:rsid w:val="003F76B6"/>
    <w:pPr>
      <w:ind w:left="566" w:hanging="283"/>
      <w:contextualSpacing/>
    </w:pPr>
  </w:style>
  <w:style w:type="paragraph" w:styleId="List3">
    <w:name w:val="List 3"/>
    <w:basedOn w:val="Normal"/>
    <w:rsid w:val="003F76B6"/>
    <w:pPr>
      <w:ind w:left="849" w:hanging="283"/>
      <w:contextualSpacing/>
    </w:pPr>
  </w:style>
  <w:style w:type="paragraph" w:styleId="List4">
    <w:name w:val="List 4"/>
    <w:basedOn w:val="Normal"/>
    <w:rsid w:val="003F76B6"/>
    <w:pPr>
      <w:ind w:left="1132" w:hanging="283"/>
      <w:contextualSpacing/>
    </w:pPr>
  </w:style>
  <w:style w:type="paragraph" w:styleId="List5">
    <w:name w:val="List 5"/>
    <w:basedOn w:val="Normal"/>
    <w:rsid w:val="003F76B6"/>
    <w:pPr>
      <w:ind w:left="1415" w:hanging="283"/>
      <w:contextualSpacing/>
    </w:pPr>
  </w:style>
  <w:style w:type="paragraph" w:styleId="ListBullet">
    <w:name w:val="List Bullet"/>
    <w:basedOn w:val="Normal"/>
    <w:rsid w:val="003F76B6"/>
    <w:pPr>
      <w:numPr>
        <w:numId w:val="8"/>
      </w:numPr>
      <w:contextualSpacing/>
    </w:pPr>
  </w:style>
  <w:style w:type="paragraph" w:styleId="ListBullet2">
    <w:name w:val="List Bullet 2"/>
    <w:basedOn w:val="Normal"/>
    <w:rsid w:val="003F76B6"/>
    <w:pPr>
      <w:numPr>
        <w:numId w:val="9"/>
      </w:numPr>
      <w:contextualSpacing/>
    </w:pPr>
  </w:style>
  <w:style w:type="paragraph" w:styleId="ListBullet3">
    <w:name w:val="List Bullet 3"/>
    <w:basedOn w:val="Normal"/>
    <w:rsid w:val="003F76B6"/>
    <w:pPr>
      <w:numPr>
        <w:numId w:val="10"/>
      </w:numPr>
      <w:contextualSpacing/>
    </w:pPr>
  </w:style>
  <w:style w:type="paragraph" w:styleId="ListBullet4">
    <w:name w:val="List Bullet 4"/>
    <w:basedOn w:val="Normal"/>
    <w:rsid w:val="003F76B6"/>
    <w:pPr>
      <w:numPr>
        <w:numId w:val="11"/>
      </w:numPr>
      <w:contextualSpacing/>
    </w:pPr>
  </w:style>
  <w:style w:type="paragraph" w:styleId="ListBullet5">
    <w:name w:val="List Bullet 5"/>
    <w:basedOn w:val="Normal"/>
    <w:rsid w:val="003F76B6"/>
    <w:pPr>
      <w:numPr>
        <w:numId w:val="12"/>
      </w:numPr>
      <w:contextualSpacing/>
    </w:pPr>
  </w:style>
  <w:style w:type="paragraph" w:styleId="ListContinue">
    <w:name w:val="List Continue"/>
    <w:basedOn w:val="Normal"/>
    <w:rsid w:val="003F76B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F76B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3F76B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3F76B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3F76B6"/>
    <w:pPr>
      <w:spacing w:after="120"/>
      <w:ind w:left="1415"/>
      <w:contextualSpacing/>
    </w:pPr>
  </w:style>
  <w:style w:type="paragraph" w:styleId="ListNumber">
    <w:name w:val="List Number"/>
    <w:basedOn w:val="Normal"/>
    <w:rsid w:val="003F76B6"/>
    <w:pPr>
      <w:numPr>
        <w:numId w:val="13"/>
      </w:numPr>
      <w:contextualSpacing/>
    </w:pPr>
  </w:style>
  <w:style w:type="paragraph" w:styleId="ListNumber2">
    <w:name w:val="List Number 2"/>
    <w:basedOn w:val="Normal"/>
    <w:rsid w:val="003F76B6"/>
    <w:pPr>
      <w:numPr>
        <w:numId w:val="14"/>
      </w:numPr>
      <w:contextualSpacing/>
    </w:pPr>
  </w:style>
  <w:style w:type="paragraph" w:styleId="ListNumber3">
    <w:name w:val="List Number 3"/>
    <w:basedOn w:val="Normal"/>
    <w:rsid w:val="003F76B6"/>
    <w:pPr>
      <w:numPr>
        <w:numId w:val="15"/>
      </w:numPr>
      <w:contextualSpacing/>
    </w:pPr>
  </w:style>
  <w:style w:type="paragraph" w:styleId="ListNumber4">
    <w:name w:val="List Number 4"/>
    <w:basedOn w:val="Normal"/>
    <w:rsid w:val="003F76B6"/>
    <w:pPr>
      <w:numPr>
        <w:numId w:val="16"/>
      </w:numPr>
      <w:contextualSpacing/>
    </w:pPr>
  </w:style>
  <w:style w:type="paragraph" w:styleId="ListNumber5">
    <w:name w:val="List Number 5"/>
    <w:basedOn w:val="Normal"/>
    <w:rsid w:val="003F76B6"/>
    <w:pPr>
      <w:numPr>
        <w:numId w:val="17"/>
      </w:numPr>
      <w:contextualSpacing/>
    </w:pPr>
  </w:style>
  <w:style w:type="paragraph" w:styleId="ListParagraph">
    <w:name w:val="List Paragraph"/>
    <w:aliases w:val="목록 단,?? ??,?????,????,목록 단락,Grille moyenne 1 - Accent 21,- Bullets,1st level - Bullet List Paragraph,List Paragraph1,Lettre d'introduction,Paragrafo elenco,Normal bullet 2,Bullet list,Numbered List,Lista1,Task Body,3 Txt tabla,列出段落"/>
    <w:basedOn w:val="Normal"/>
    <w:link w:val="ListParagraphChar"/>
    <w:uiPriority w:val="34"/>
    <w:qFormat/>
    <w:rsid w:val="003F76B6"/>
    <w:pPr>
      <w:ind w:left="720"/>
      <w:contextualSpacing/>
    </w:pPr>
  </w:style>
  <w:style w:type="paragraph" w:styleId="MacroText">
    <w:name w:val="macro"/>
    <w:link w:val="MacroTextChar"/>
    <w:rsid w:val="003F76B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cs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3F76B6"/>
    <w:rPr>
      <w:rFonts w:ascii="Consolas" w:hAnsi="Consolas" w:cs="Consolas"/>
      <w:lang w:eastAsia="en-US"/>
    </w:rPr>
  </w:style>
  <w:style w:type="paragraph" w:styleId="MessageHeader">
    <w:name w:val="Message Header"/>
    <w:basedOn w:val="Normal"/>
    <w:link w:val="MessageHeaderChar"/>
    <w:rsid w:val="003F76B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F76B6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3F76B6"/>
    <w:rPr>
      <w:lang w:eastAsia="en-US"/>
    </w:rPr>
  </w:style>
  <w:style w:type="paragraph" w:styleId="NormalWeb">
    <w:name w:val="Normal (Web)"/>
    <w:basedOn w:val="Normal"/>
    <w:rsid w:val="003F76B6"/>
    <w:rPr>
      <w:sz w:val="24"/>
      <w:szCs w:val="24"/>
    </w:rPr>
  </w:style>
  <w:style w:type="paragraph" w:styleId="NormalIndent">
    <w:name w:val="Normal Indent"/>
    <w:basedOn w:val="Normal"/>
    <w:rsid w:val="003F76B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3F76B6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3F76B6"/>
    <w:rPr>
      <w:lang w:eastAsia="en-US"/>
    </w:rPr>
  </w:style>
  <w:style w:type="paragraph" w:styleId="PlainText">
    <w:name w:val="Plain Text"/>
    <w:basedOn w:val="Normal"/>
    <w:link w:val="PlainTextChar"/>
    <w:rsid w:val="003F76B6"/>
    <w:pPr>
      <w:spacing w:after="0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3F76B6"/>
    <w:rPr>
      <w:rFonts w:ascii="Consolas" w:hAnsi="Consolas" w:cs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F76B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F76B6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3F76B6"/>
  </w:style>
  <w:style w:type="character" w:customStyle="1" w:styleId="SalutationChar">
    <w:name w:val="Salutation Char"/>
    <w:basedOn w:val="DefaultParagraphFont"/>
    <w:link w:val="Salutation"/>
    <w:rsid w:val="003F76B6"/>
    <w:rPr>
      <w:lang w:eastAsia="en-US"/>
    </w:rPr>
  </w:style>
  <w:style w:type="paragraph" w:styleId="Signature">
    <w:name w:val="Signature"/>
    <w:basedOn w:val="Normal"/>
    <w:link w:val="SignatureChar"/>
    <w:rsid w:val="003F76B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3F76B6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3F76B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3F76B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3F76B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3F76B6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3F76B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3F76B6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3F76B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F76B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table" w:styleId="TableGrid">
    <w:name w:val="Table Grid"/>
    <w:basedOn w:val="TableNormal"/>
    <w:rsid w:val="002277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목록 단 Char,?? ?? Char,????? Char,???? Char,목록 단락 Char,Grille moyenne 1 - Accent 21 Char,- Bullets Char,1st level - Bullet List Paragraph Char,List Paragraph1 Char,Lettre d'introduction Char,Paragrafo elenco Char,Normal bullet 2 Char"/>
    <w:link w:val="ListParagraph"/>
    <w:uiPriority w:val="34"/>
    <w:qFormat/>
    <w:locked/>
    <w:rsid w:val="002277FE"/>
    <w:rPr>
      <w:lang w:eastAsia="en-US"/>
    </w:rPr>
  </w:style>
  <w:style w:type="character" w:styleId="CommentReference">
    <w:name w:val="annotation reference"/>
    <w:basedOn w:val="DefaultParagraphFont"/>
    <w:rsid w:val="005A5092"/>
    <w:rPr>
      <w:sz w:val="16"/>
      <w:szCs w:val="16"/>
    </w:rPr>
  </w:style>
  <w:style w:type="paragraph" w:styleId="Revision">
    <w:name w:val="Revision"/>
    <w:hidden/>
    <w:uiPriority w:val="99"/>
    <w:semiHidden/>
    <w:rsid w:val="00012E04"/>
    <w:rPr>
      <w:lang w:eastAsia="en-US"/>
    </w:rPr>
  </w:style>
  <w:style w:type="character" w:styleId="Mention">
    <w:name w:val="Mention"/>
    <w:basedOn w:val="DefaultParagraphFont"/>
    <w:uiPriority w:val="99"/>
    <w:unhideWhenUsed/>
    <w:rsid w:val="00B37DF0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RBI5PAMIO524-1616901215-16977</_dlc_DocId>
    <_dlc_DocIdUrl xmlns="71c5aaf6-e6ce-465b-b873-5148d2a4c105">
      <Url>https://nokia.sharepoint.com/sites/gxp/_layouts/15/DocIdRedir.aspx?ID=RBI5PAMIO524-1616901215-16977</Url>
      <Description>RBI5PAMIO524-1616901215-16977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</documentManagement>
</p:properties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3" ma:contentTypeDescription="Create a new document." ma:contentTypeScope="" ma:versionID="8aaa719e4988102f2ce2d387b423b610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2dbfea9ae561874a02c102fb9da15fdd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8ED1FF41-9130-4FBF-B742-64100F73850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customXml/itemProps2.xml><?xml version="1.0" encoding="utf-8"?>
<ds:datastoreItem xmlns:ds="http://schemas.openxmlformats.org/officeDocument/2006/customXml" ds:itemID="{F17EEE51-404C-402E-856B-14BC9DBCFF24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FD59A7FB-44C5-41FA-AE33-24537AC1FDC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C66C2573-CBE0-4638-8415-428B36BCACB2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1128</Words>
  <Characters>6435</Characters>
  <Application>Microsoft Office Word</Application>
  <DocSecurity>0</DocSecurity>
  <Lines>53</Lines>
  <Paragraphs>15</Paragraphs>
  <ScaleCrop>false</ScaleCrop>
  <Manager/>
  <Company>Nokia</Company>
  <LinksUpToDate>false</LinksUpToDate>
  <CharactersWithSpaces>7548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Benoist</dc:creator>
  <cp:keywords/>
  <dc:description/>
  <cp:lastModifiedBy>Nokia (Jedrzej)</cp:lastModifiedBy>
  <cp:revision>265</cp:revision>
  <dcterms:created xsi:type="dcterms:W3CDTF">2016-08-12T22:53:00Z</dcterms:created>
  <dcterms:modified xsi:type="dcterms:W3CDTF">2024-04-05T08:30:00Z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MediaServiceImageTags">
    <vt:lpwstr/>
  </property>
  <property fmtid="{D5CDD505-2E9C-101B-9397-08002B2CF9AE}" pid="4" name="_dlc_DocIdItemGuid">
    <vt:lpwstr>ebca44a8-5a91-4127-9101-dafb50b73a91</vt:lpwstr>
  </property>
</Properties>
</file>